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2709A0" w14:textId="74BC7917" w:rsidR="005128BE" w:rsidRPr="0052548E" w:rsidRDefault="005128BE" w:rsidP="005128BE">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25581F">
        <w:rPr>
          <w:rFonts w:ascii="Arial" w:hAnsi="Arial" w:cs="Arial"/>
          <w:b/>
          <w:bCs/>
          <w:sz w:val="28"/>
        </w:rPr>
        <w:t>5</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25581F" w:rsidRPr="0025581F">
        <w:rPr>
          <w:rFonts w:ascii="Arial" w:hAnsi="Arial" w:cs="Arial"/>
          <w:b/>
          <w:bCs/>
          <w:sz w:val="28"/>
        </w:rPr>
        <w:t>R1-2104930</w:t>
      </w:r>
    </w:p>
    <w:p w14:paraId="09A8F993" w14:textId="6276879F" w:rsidR="005128BE" w:rsidRPr="009513AC" w:rsidRDefault="005128BE" w:rsidP="005128BE">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25581F">
        <w:rPr>
          <w:rFonts w:ascii="Arial" w:eastAsia="MS Mincho" w:hAnsi="Arial" w:cs="Arial"/>
          <w:b/>
          <w:bCs/>
          <w:sz w:val="28"/>
          <w:lang w:eastAsia="ja-JP"/>
        </w:rPr>
        <w:t>May 19</w:t>
      </w:r>
      <w:r w:rsidR="0025581F" w:rsidRPr="0025581F">
        <w:rPr>
          <w:rFonts w:ascii="Arial" w:eastAsia="MS Mincho" w:hAnsi="Arial" w:cs="Arial"/>
          <w:b/>
          <w:bCs/>
          <w:sz w:val="28"/>
          <w:vertAlign w:val="superscript"/>
          <w:lang w:eastAsia="ja-JP"/>
        </w:rPr>
        <w:t>th</w:t>
      </w:r>
      <w:r w:rsidR="0025581F">
        <w:rPr>
          <w:rFonts w:ascii="Arial" w:eastAsia="MS Mincho" w:hAnsi="Arial" w:cs="Arial"/>
          <w:b/>
          <w:bCs/>
          <w:sz w:val="28"/>
          <w:lang w:eastAsia="ja-JP"/>
        </w:rPr>
        <w:t xml:space="preserve"> – 27</w:t>
      </w:r>
      <w:r w:rsidR="0025581F" w:rsidRPr="0025581F">
        <w:rPr>
          <w:rFonts w:ascii="Arial" w:eastAsia="MS Mincho" w:hAnsi="Arial" w:cs="Arial"/>
          <w:b/>
          <w:bCs/>
          <w:sz w:val="28"/>
          <w:vertAlign w:val="superscript"/>
          <w:lang w:eastAsia="ja-JP"/>
        </w:rPr>
        <w:t>th</w:t>
      </w:r>
      <w:r w:rsidRPr="00B502E8">
        <w:rPr>
          <w:rFonts w:ascii="Arial" w:eastAsia="MS Mincho" w:hAnsi="Arial" w:cs="Arial"/>
          <w:b/>
          <w:bCs/>
          <w:sz w:val="28"/>
          <w:lang w:eastAsia="ja-JP"/>
        </w:rPr>
        <w:t>, 202</w:t>
      </w:r>
      <w:r w:rsidR="00030A2E">
        <w:rPr>
          <w:rFonts w:ascii="Arial" w:eastAsia="MS Mincho" w:hAnsi="Arial" w:cs="Arial"/>
          <w:b/>
          <w:bCs/>
          <w:sz w:val="28"/>
          <w:lang w:eastAsia="ja-JP"/>
        </w:rPr>
        <w:t>1</w:t>
      </w:r>
    </w:p>
    <w:p w14:paraId="327B2397" w14:textId="77777777" w:rsidR="005128BE" w:rsidRPr="00A44DC8" w:rsidRDefault="005128BE" w:rsidP="005128BE">
      <w:pPr>
        <w:tabs>
          <w:tab w:val="left" w:pos="1701"/>
          <w:tab w:val="right" w:pos="9072"/>
          <w:tab w:val="right" w:pos="10206"/>
        </w:tabs>
        <w:rPr>
          <w:rFonts w:ascii="Arial" w:hAnsi="Arial"/>
          <w:b/>
          <w:sz w:val="18"/>
        </w:rPr>
      </w:pPr>
    </w:p>
    <w:p w14:paraId="3911319F" w14:textId="77777777" w:rsidR="005128BE" w:rsidRPr="00E95DAE" w:rsidRDefault="005128BE" w:rsidP="005128BE">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3A96B77" w14:textId="28F1122A" w:rsidR="005128BE" w:rsidRPr="00A61344" w:rsidRDefault="005128BE" w:rsidP="005128BE">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NR MBS for RRC_IDLE and INACTIVE UEs</w:t>
      </w:r>
    </w:p>
    <w:p w14:paraId="758C91BD" w14:textId="5467D706" w:rsidR="005128BE" w:rsidRPr="00E832E5" w:rsidRDefault="005128BE" w:rsidP="005128BE">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Pr>
          <w:rFonts w:ascii="Arial" w:hAnsi="Arial" w:cs="Arial"/>
          <w:b/>
          <w:sz w:val="24"/>
          <w:lang w:val="en-US"/>
        </w:rPr>
        <w:t>8.12.3</w:t>
      </w:r>
    </w:p>
    <w:p w14:paraId="2CBFF3E0" w14:textId="77777777" w:rsidR="005128BE" w:rsidRDefault="005128BE" w:rsidP="005128BE">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00A5F485" w14:textId="12ACEA61" w:rsidR="00380677" w:rsidRDefault="00380677" w:rsidP="00380677">
      <w:pPr>
        <w:pStyle w:val="Heading1"/>
        <w:numPr>
          <w:ilvl w:val="0"/>
          <w:numId w:val="1"/>
        </w:numPr>
        <w:spacing w:before="120" w:after="60"/>
        <w:jc w:val="both"/>
        <w:rPr>
          <w:rFonts w:cs="Arial"/>
          <w:sz w:val="32"/>
          <w:szCs w:val="18"/>
          <w:lang w:val="en-US"/>
        </w:rPr>
      </w:pPr>
      <w:r w:rsidRPr="00263538">
        <w:rPr>
          <w:rFonts w:cs="Arial"/>
          <w:sz w:val="32"/>
          <w:szCs w:val="18"/>
          <w:lang w:val="en-US"/>
        </w:rPr>
        <w:t>Introduction</w:t>
      </w:r>
    </w:p>
    <w:p w14:paraId="0EA858F1" w14:textId="3A95F0D1" w:rsidR="00C53772" w:rsidRPr="00DA5B2F" w:rsidRDefault="00C53772" w:rsidP="00C53772">
      <w:pPr>
        <w:spacing w:before="240"/>
        <w:rPr>
          <w:lang w:val="en-US"/>
        </w:rPr>
      </w:pPr>
      <w:r w:rsidRPr="00DA5B2F">
        <w:rPr>
          <w:lang w:val="en-US"/>
        </w:rPr>
        <w:t xml:space="preserve">In this paper, </w:t>
      </w:r>
      <w:r w:rsidR="005128BE" w:rsidRPr="00DA5B2F">
        <w:rPr>
          <w:lang w:val="en-US"/>
        </w:rPr>
        <w:t>support of</w:t>
      </w:r>
      <w:r w:rsidRPr="00DA5B2F">
        <w:rPr>
          <w:lang w:val="en-US"/>
        </w:rPr>
        <w:t xml:space="preserve"> NR multicast and broadcast services (MBS) for RRC_</w:t>
      </w:r>
      <w:r w:rsidR="005128BE" w:rsidRPr="00DA5B2F">
        <w:rPr>
          <w:lang w:val="en-US"/>
        </w:rPr>
        <w:t>IDLE/INACTIVE</w:t>
      </w:r>
      <w:r w:rsidRPr="00DA5B2F">
        <w:rPr>
          <w:lang w:val="en-US"/>
        </w:rPr>
        <w:t xml:space="preserve"> UEs </w:t>
      </w:r>
      <w:r w:rsidR="004B7621" w:rsidRPr="00DA5B2F">
        <w:rPr>
          <w:lang w:val="en-US"/>
        </w:rPr>
        <w:t>are</w:t>
      </w:r>
      <w:r w:rsidRPr="00DA5B2F">
        <w:rPr>
          <w:lang w:val="en-US"/>
        </w:rPr>
        <w:t xml:space="preserve"> discussed. The new work item on NR Support of Multicast and Broadcast Services [1] has the following objectives for normative work on NR MBS </w:t>
      </w:r>
      <w:r w:rsidR="00520270" w:rsidRPr="00DA5B2F">
        <w:rPr>
          <w:lang w:val="en-US"/>
        </w:rPr>
        <w:t>for RRC_IDLE/INACTIVE UEs</w:t>
      </w:r>
    </w:p>
    <w:tbl>
      <w:tblPr>
        <w:tblStyle w:val="TableGrid"/>
        <w:tblW w:w="0" w:type="auto"/>
        <w:tblLook w:val="04A0" w:firstRow="1" w:lastRow="0" w:firstColumn="1" w:lastColumn="0" w:noHBand="0" w:noVBand="1"/>
      </w:tblPr>
      <w:tblGrid>
        <w:gridCol w:w="10160"/>
      </w:tblGrid>
      <w:tr w:rsidR="00380677" w:rsidRPr="00DA5B2F" w14:paraId="733D024A" w14:textId="77777777" w:rsidTr="0056791A">
        <w:tc>
          <w:tcPr>
            <w:tcW w:w="10160" w:type="dxa"/>
            <w:vAlign w:val="center"/>
          </w:tcPr>
          <w:p w14:paraId="4ADE58D7" w14:textId="77777777" w:rsidR="00DC41F7" w:rsidRPr="00DA5B2F" w:rsidRDefault="00DC41F7" w:rsidP="00DC41F7">
            <w:pPr>
              <w:numPr>
                <w:ilvl w:val="0"/>
                <w:numId w:val="3"/>
              </w:numPr>
              <w:ind w:right="-99"/>
              <w:rPr>
                <w:color w:val="000000"/>
              </w:rPr>
            </w:pPr>
            <w:r w:rsidRPr="00DA5B2F">
              <w:rPr>
                <w:color w:val="000000"/>
              </w:rPr>
              <w:t>Specify RAN basic functions for broadcast/multicast for UEs in RRC_IDLE/ RRC_INACTIVE states [RAN2, RAN1]:</w:t>
            </w:r>
          </w:p>
          <w:p w14:paraId="4F031C3A" w14:textId="77777777" w:rsidR="00DC41F7" w:rsidRPr="00DA5B2F" w:rsidRDefault="00DC41F7" w:rsidP="00DC41F7">
            <w:pPr>
              <w:numPr>
                <w:ilvl w:val="1"/>
                <w:numId w:val="3"/>
              </w:numPr>
              <w:rPr>
                <w:color w:val="000000"/>
              </w:rPr>
            </w:pPr>
            <w:r w:rsidRPr="00DA5B2F">
              <w:rPr>
                <w:color w:val="000000"/>
              </w:rPr>
              <w:t>Specify required changes to enable the reception of Point to Multipoint transmissions by UEs in RRC_IDLE/ RRC_INACTIVE states, with the aim of keeping maximum commonality between RRC_CONNECTED state and RRC_IDLE/RRC_INACTIVE state for the configuration of PTM reception. [RAN2, RAN1].</w:t>
            </w:r>
          </w:p>
          <w:p w14:paraId="74AEDC0E" w14:textId="2DB7A670" w:rsidR="00380677" w:rsidRPr="00DA5B2F" w:rsidRDefault="00DC41F7" w:rsidP="00DC41F7">
            <w:pPr>
              <w:ind w:left="720"/>
            </w:pPr>
            <w:r w:rsidRPr="00DA5B2F">
              <w:rPr>
                <w:rFonts w:hint="eastAsia"/>
              </w:rPr>
              <w:t xml:space="preserve">Note: </w:t>
            </w:r>
            <w:r w:rsidRPr="00DA5B2F">
              <w:t xml:space="preserve">the possibility of receiving </w:t>
            </w:r>
            <w:r w:rsidRPr="00DA5B2F">
              <w:rPr>
                <w:color w:val="000000"/>
              </w:rPr>
              <w:t xml:space="preserve">Point to Multipoint transmissions </w:t>
            </w:r>
            <w:r w:rsidRPr="00DA5B2F">
              <w:t xml:space="preserve">by UEs in RRC_IDLE/ RRC_INACTIVE states, without the need for those UEs to get the configuration of the PTM bearer carrying the Broadcast/Multicast service while in RRC CONNECTED state beforehand, is subject to verification of service subscription and authorization assumptions during the WI. </w:t>
            </w:r>
          </w:p>
        </w:tc>
      </w:tr>
    </w:tbl>
    <w:p w14:paraId="5C89C6F0" w14:textId="04248334" w:rsidR="0056791A" w:rsidRPr="00DA5B2F" w:rsidRDefault="004B7621" w:rsidP="00FB798F">
      <w:pPr>
        <w:spacing w:before="240"/>
        <w:rPr>
          <w:lang w:val="en-US"/>
        </w:rPr>
      </w:pPr>
      <w:r w:rsidRPr="00DA5B2F">
        <w:rPr>
          <w:lang w:val="en-US"/>
        </w:rPr>
        <w:t xml:space="preserve">Additionally, the following restrictions are also provided in  </w:t>
      </w:r>
      <w:r w:rsidRPr="00DA5B2F">
        <w:rPr>
          <w:lang w:val="en-US"/>
        </w:rPr>
        <w:fldChar w:fldCharType="begin"/>
      </w:r>
      <w:r w:rsidRPr="00DA5B2F">
        <w:rPr>
          <w:lang w:val="en-US"/>
        </w:rPr>
        <w:instrText xml:space="preserve"> REF _Ref47537577 \r \h  \* MERGEFORMAT </w:instrText>
      </w:r>
      <w:r w:rsidRPr="00DA5B2F">
        <w:rPr>
          <w:lang w:val="en-US"/>
        </w:rPr>
      </w:r>
      <w:r w:rsidRPr="00DA5B2F">
        <w:rPr>
          <w:lang w:val="en-US"/>
        </w:rPr>
        <w:fldChar w:fldCharType="separate"/>
      </w:r>
      <w:r w:rsidR="00256694" w:rsidRPr="00DA5B2F">
        <w:rPr>
          <w:lang w:val="en-US"/>
        </w:rPr>
        <w:t>[1]</w:t>
      </w:r>
      <w:r w:rsidRPr="00DA5B2F">
        <w:rPr>
          <w:lang w:val="en-US"/>
        </w:rPr>
        <w:fldChar w:fldCharType="end"/>
      </w:r>
      <w:r w:rsidRPr="00DA5B2F">
        <w:rPr>
          <w:lang w:val="en-US"/>
        </w:rPr>
        <w:t xml:space="preserve"> with respect to the scope of work expected in Release 17 NR:</w:t>
      </w:r>
    </w:p>
    <w:tbl>
      <w:tblPr>
        <w:tblStyle w:val="TableGrid"/>
        <w:tblW w:w="0" w:type="auto"/>
        <w:tblLook w:val="04A0" w:firstRow="1" w:lastRow="0" w:firstColumn="1" w:lastColumn="0" w:noHBand="0" w:noVBand="1"/>
      </w:tblPr>
      <w:tblGrid>
        <w:gridCol w:w="10160"/>
      </w:tblGrid>
      <w:tr w:rsidR="00380677" w:rsidRPr="00DA5B2F" w14:paraId="2C533CD4" w14:textId="77777777" w:rsidTr="0056791A">
        <w:tc>
          <w:tcPr>
            <w:tcW w:w="10160" w:type="dxa"/>
            <w:vAlign w:val="center"/>
          </w:tcPr>
          <w:p w14:paraId="06DDAA4C" w14:textId="77777777" w:rsidR="00380677" w:rsidRPr="00DA5B2F" w:rsidRDefault="00380677" w:rsidP="00C3074A">
            <w:pPr>
              <w:pStyle w:val="ListParagraph"/>
              <w:numPr>
                <w:ilvl w:val="0"/>
                <w:numId w:val="5"/>
              </w:numPr>
              <w:rPr>
                <w:lang w:val="en-GB"/>
              </w:rPr>
            </w:pPr>
            <w:r w:rsidRPr="00DA5B2F">
              <w:t>Physical layer: limit the scope of this WI to current Rel-15 numerologies, physical channels (PDCCH/PDSCH) and signals.</w:t>
            </w:r>
          </w:p>
          <w:p w14:paraId="00DAE7B3" w14:textId="77777777" w:rsidR="00380677" w:rsidRPr="00DA5B2F" w:rsidRDefault="00380677" w:rsidP="00C3074A">
            <w:pPr>
              <w:pStyle w:val="ListParagraph"/>
              <w:numPr>
                <w:ilvl w:val="0"/>
                <w:numId w:val="5"/>
              </w:numPr>
            </w:pPr>
            <w:r w:rsidRPr="00DA5B2F">
              <w:t>FR2: we assume that there are no issues to provide Multicast / Broadcast transmissions in FR2. If any enhancements are needed it should be treated with lower priority compared to the minimum set of objectives above.</w:t>
            </w:r>
          </w:p>
          <w:p w14:paraId="68F77971" w14:textId="77777777" w:rsidR="00380677" w:rsidRPr="00DA5B2F" w:rsidRDefault="00380677" w:rsidP="00C3074A">
            <w:pPr>
              <w:pStyle w:val="ListParagraph"/>
              <w:numPr>
                <w:ilvl w:val="0"/>
                <w:numId w:val="5"/>
              </w:numPr>
            </w:pPr>
            <w:proofErr w:type="gramStart"/>
            <w:r w:rsidRPr="00DA5B2F">
              <w:t>In order to</w:t>
            </w:r>
            <w:proofErr w:type="gramEnd"/>
            <w:r w:rsidRPr="00DA5B2F">
              <w:t xml:space="preserve"> facilitate implementation and deployment of the feature, the overall implementation impact should be limited, and the UE complexity should be minimized (e.g. device hardware impact should be avoided). </w:t>
            </w:r>
          </w:p>
          <w:p w14:paraId="78FAE5D3" w14:textId="77777777" w:rsidR="00380677" w:rsidRPr="00DA5B2F" w:rsidRDefault="00380677" w:rsidP="00C3074A">
            <w:pPr>
              <w:pStyle w:val="ListParagraph"/>
              <w:numPr>
                <w:ilvl w:val="0"/>
                <w:numId w:val="5"/>
              </w:numPr>
            </w:pPr>
            <w:r w:rsidRPr="00DA5B2F">
              <w:t>SFN provides synchronized delivery of user plane packets over the air from different cells. No standardized support specifically for SFN, is provided in this WI. Any SFN operation is transparent to the UE, and any related synchronization is left to network implementation. The existing QCL framework (based on SSB and CSI-RS) is reused.</w:t>
            </w:r>
          </w:p>
          <w:p w14:paraId="4C4FCC08" w14:textId="77777777" w:rsidR="00380677" w:rsidRPr="00DA5B2F" w:rsidRDefault="00380677" w:rsidP="00C3074A">
            <w:pPr>
              <w:pStyle w:val="ListParagraph"/>
              <w:numPr>
                <w:ilvl w:val="0"/>
                <w:numId w:val="5"/>
              </w:numPr>
              <w:rPr>
                <w:lang w:val="en-GB"/>
              </w:rPr>
            </w:pPr>
            <w:r w:rsidRPr="00DA5B2F">
              <w:t>Flexible resource allocation between Unicast and Broadcast/Multicast services should be possible in this WI, but resource allocation up to 100% to Broadcast/Multicast is not guaranteed requirement in this WI.</w:t>
            </w:r>
          </w:p>
        </w:tc>
      </w:tr>
    </w:tbl>
    <w:p w14:paraId="10515667" w14:textId="4C3E0609" w:rsidR="00380677" w:rsidRPr="00DA5B2F" w:rsidRDefault="00783CC4" w:rsidP="00783CC4">
      <w:pPr>
        <w:spacing w:before="240"/>
        <w:rPr>
          <w:lang w:val="en-US"/>
        </w:rPr>
      </w:pPr>
      <w:r w:rsidRPr="00DA5B2F">
        <w:rPr>
          <w:lang w:val="en-US"/>
        </w:rPr>
        <w:t xml:space="preserve">Based on the WID objectives while accounting for the restrictions above, in this paper, we provide discussion and proposals on </w:t>
      </w:r>
      <w:r w:rsidR="00253FFC" w:rsidRPr="00DA5B2F">
        <w:rPr>
          <w:lang w:val="en-US"/>
        </w:rPr>
        <w:t>mechanisms for</w:t>
      </w:r>
      <w:r w:rsidR="00475A3D" w:rsidRPr="00DA5B2F">
        <w:rPr>
          <w:lang w:val="en-US"/>
        </w:rPr>
        <w:t xml:space="preserve"> supporting multicast for RRC_IDLE/INACTIVE UEs</w:t>
      </w:r>
      <w:r w:rsidR="00D938AC" w:rsidRPr="00DA5B2F">
        <w:rPr>
          <w:lang w:val="en-US"/>
        </w:rPr>
        <w:t>.</w:t>
      </w:r>
    </w:p>
    <w:p w14:paraId="1B6C688A" w14:textId="77777777" w:rsidR="00380677" w:rsidRDefault="00380677" w:rsidP="00380677">
      <w:pPr>
        <w:pStyle w:val="Heading1"/>
        <w:numPr>
          <w:ilvl w:val="0"/>
          <w:numId w:val="1"/>
        </w:numPr>
        <w:pBdr>
          <w:top w:val="single" w:sz="12" w:space="4" w:color="auto"/>
        </w:pBdr>
        <w:rPr>
          <w:rFonts w:cs="Arial"/>
          <w:sz w:val="32"/>
          <w:szCs w:val="18"/>
          <w:lang w:val="en-US"/>
        </w:rPr>
      </w:pPr>
      <w:r w:rsidRPr="00263538">
        <w:rPr>
          <w:rFonts w:cs="Arial"/>
          <w:sz w:val="32"/>
          <w:szCs w:val="18"/>
          <w:lang w:val="en-US"/>
        </w:rPr>
        <w:t xml:space="preserve">Discussion </w:t>
      </w:r>
    </w:p>
    <w:p w14:paraId="38540814" w14:textId="6595C09A" w:rsidR="00BE2B35" w:rsidRPr="00AC3AD0" w:rsidRDefault="00380677" w:rsidP="00AC3AD0">
      <w:pPr>
        <w:rPr>
          <w:lang w:val="en-US"/>
        </w:rPr>
      </w:pPr>
      <w:r w:rsidRPr="00DA5B2F">
        <w:rPr>
          <w:lang w:val="en-US"/>
        </w:rPr>
        <w:t xml:space="preserve">In this section we provide initial details on design considerations for NR MBS </w:t>
      </w:r>
      <w:r w:rsidR="006548F7" w:rsidRPr="00DA5B2F">
        <w:rPr>
          <w:lang w:val="en-US"/>
        </w:rPr>
        <w:t>for</w:t>
      </w:r>
      <w:r w:rsidR="00416B4C" w:rsidRPr="00DA5B2F">
        <w:rPr>
          <w:lang w:val="en-US"/>
        </w:rPr>
        <w:t xml:space="preserve"> RRC_IDLE</w:t>
      </w:r>
      <w:r w:rsidR="00E3353D" w:rsidRPr="00DA5B2F">
        <w:rPr>
          <w:lang w:val="en-US"/>
        </w:rPr>
        <w:t xml:space="preserve"> or RRC_</w:t>
      </w:r>
      <w:r w:rsidR="00416B4C" w:rsidRPr="00DA5B2F">
        <w:rPr>
          <w:lang w:val="en-US"/>
        </w:rPr>
        <w:t>INACTIVE</w:t>
      </w:r>
      <w:r w:rsidR="00AC3AD0">
        <w:rPr>
          <w:lang w:val="en-US"/>
        </w:rPr>
        <w:t xml:space="preserve"> </w:t>
      </w:r>
      <w:r w:rsidR="001412FE">
        <w:rPr>
          <w:lang w:val="en-US"/>
        </w:rPr>
        <w:t>mode UEs</w:t>
      </w:r>
      <w:r w:rsidR="00E3353D" w:rsidRPr="00DA5B2F">
        <w:rPr>
          <w:lang w:val="en-US"/>
        </w:rPr>
        <w:t>.</w:t>
      </w:r>
      <w:r w:rsidR="001412FE">
        <w:rPr>
          <w:lang w:val="en-US"/>
        </w:rPr>
        <w:t xml:space="preserve"> RAN2 has already agreed that low QoS Delivery mode 2 (broadcast)</w:t>
      </w:r>
      <w:r w:rsidR="006548F7" w:rsidRPr="00DA5B2F">
        <w:rPr>
          <w:lang w:val="en-US"/>
        </w:rPr>
        <w:t xml:space="preserve"> </w:t>
      </w:r>
      <w:r w:rsidR="00BB362B">
        <w:rPr>
          <w:lang w:val="en-US"/>
        </w:rPr>
        <w:t xml:space="preserve">is </w:t>
      </w:r>
      <w:r w:rsidR="001412FE">
        <w:rPr>
          <w:lang w:val="en-US"/>
        </w:rPr>
        <w:t>supported for RRC_IDLE/INACTIVE UEs and multicast is currently deprioritized.</w:t>
      </w:r>
      <w:r w:rsidR="00BB362B">
        <w:rPr>
          <w:lang w:val="en-US"/>
        </w:rPr>
        <w:t xml:space="preserve"> Furthermo</w:t>
      </w:r>
      <w:r w:rsidR="00985759">
        <w:rPr>
          <w:lang w:val="en-US"/>
        </w:rPr>
        <w:t>re</w:t>
      </w:r>
      <w:r w:rsidR="00566708">
        <w:rPr>
          <w:lang w:val="en-US"/>
        </w:rPr>
        <w:t xml:space="preserve">, RAN2 has also agreed to support MCCH and MTCH based configuration and broadcast and data delivery similar to LTE SC-PTM for NR MBS broadcast or delivery mode 2 </w:t>
      </w:r>
      <w:r w:rsidR="00566708">
        <w:rPr>
          <w:lang w:val="en-US"/>
        </w:rPr>
        <w:fldChar w:fldCharType="begin"/>
      </w:r>
      <w:r w:rsidR="00566708">
        <w:rPr>
          <w:lang w:val="en-US"/>
        </w:rPr>
        <w:instrText xml:space="preserve"> REF _Ref71651839 \r \h </w:instrText>
      </w:r>
      <w:r w:rsidR="00566708">
        <w:rPr>
          <w:lang w:val="en-US"/>
        </w:rPr>
      </w:r>
      <w:r w:rsidR="00566708">
        <w:rPr>
          <w:lang w:val="en-US"/>
        </w:rPr>
        <w:fldChar w:fldCharType="separate"/>
      </w:r>
      <w:r w:rsidR="00566708">
        <w:rPr>
          <w:lang w:val="en-US"/>
        </w:rPr>
        <w:t>[3]</w:t>
      </w:r>
      <w:r w:rsidR="00566708">
        <w:rPr>
          <w:lang w:val="en-US"/>
        </w:rPr>
        <w:fldChar w:fldCharType="end"/>
      </w:r>
      <w:r w:rsidR="00566708">
        <w:rPr>
          <w:lang w:val="en-US"/>
        </w:rPr>
        <w:t xml:space="preserve"> and has sent an LS to </w:t>
      </w:r>
      <w:r w:rsidR="00566708">
        <w:rPr>
          <w:lang w:val="en-US"/>
        </w:rPr>
        <w:lastRenderedPageBreak/>
        <w:t xml:space="preserve">take such design into account for RAN1 discussions. </w:t>
      </w:r>
      <w:r w:rsidR="006F7C2E">
        <w:rPr>
          <w:lang w:val="en-US"/>
        </w:rPr>
        <w:t xml:space="preserve">Based on the details in the LS and the previous agreement we provide some inputs on system design for group scheduling and </w:t>
      </w:r>
      <w:r w:rsidR="00F60CFC">
        <w:rPr>
          <w:lang w:val="en-US"/>
        </w:rPr>
        <w:t xml:space="preserve">reliability for IDLE/INACTIVE UEs. </w:t>
      </w:r>
    </w:p>
    <w:p w14:paraId="155EE286" w14:textId="78E76B23" w:rsidR="00380677" w:rsidRDefault="00380677" w:rsidP="00380677">
      <w:pPr>
        <w:pStyle w:val="Heading2"/>
        <w:rPr>
          <w:sz w:val="28"/>
          <w:szCs w:val="18"/>
          <w:lang w:val="en-US"/>
        </w:rPr>
      </w:pPr>
      <w:r w:rsidRPr="00263538">
        <w:rPr>
          <w:sz w:val="28"/>
          <w:szCs w:val="18"/>
          <w:lang w:val="en-US"/>
        </w:rPr>
        <w:t>2.1</w:t>
      </w:r>
      <w:r>
        <w:rPr>
          <w:sz w:val="28"/>
          <w:szCs w:val="18"/>
          <w:lang w:val="en-US"/>
        </w:rPr>
        <w:t xml:space="preserve">. </w:t>
      </w:r>
      <w:r w:rsidR="00475A3D">
        <w:rPr>
          <w:sz w:val="28"/>
          <w:szCs w:val="18"/>
          <w:lang w:val="en-US"/>
        </w:rPr>
        <w:t>Group Scheduling</w:t>
      </w:r>
    </w:p>
    <w:p w14:paraId="610613E0" w14:textId="0B18BB5A" w:rsidR="00DA5B2F" w:rsidRDefault="00DA5B2F" w:rsidP="00DA5B2F">
      <w:pPr>
        <w:rPr>
          <w:lang w:val="en-US"/>
        </w:rPr>
      </w:pPr>
      <w:r>
        <w:rPr>
          <w:lang w:val="en-US"/>
        </w:rPr>
        <w:t xml:space="preserve">The following </w:t>
      </w:r>
      <w:r w:rsidR="00D97E6C">
        <w:rPr>
          <w:lang w:val="en-US"/>
        </w:rPr>
        <w:t>agreements were reached in RAN1#10</w:t>
      </w:r>
      <w:r w:rsidR="000F0785">
        <w:rPr>
          <w:lang w:val="en-US"/>
        </w:rPr>
        <w:t>4</w:t>
      </w:r>
      <w:r w:rsidR="00D97E6C">
        <w:rPr>
          <w:lang w:val="en-US"/>
        </w:rPr>
        <w:t>-e meeting for group scheduling of RRC_IDLE/INACTIVE UEs:</w:t>
      </w:r>
    </w:p>
    <w:tbl>
      <w:tblPr>
        <w:tblStyle w:val="TableGrid"/>
        <w:tblW w:w="0" w:type="auto"/>
        <w:tblLook w:val="04A0" w:firstRow="1" w:lastRow="0" w:firstColumn="1" w:lastColumn="0" w:noHBand="0" w:noVBand="1"/>
      </w:tblPr>
      <w:tblGrid>
        <w:gridCol w:w="10160"/>
      </w:tblGrid>
      <w:tr w:rsidR="00D97E6C" w:rsidRPr="00F63E93" w14:paraId="357DD169" w14:textId="77777777" w:rsidTr="00D97E6C">
        <w:tc>
          <w:tcPr>
            <w:tcW w:w="10160" w:type="dxa"/>
          </w:tcPr>
          <w:p w14:paraId="5AA7018C" w14:textId="77777777" w:rsidR="00F63E93" w:rsidRPr="00F63E93" w:rsidRDefault="00F63E93" w:rsidP="00F63E93">
            <w:pPr>
              <w:spacing w:before="0" w:after="0"/>
              <w:rPr>
                <w:rFonts w:eastAsia="Batang"/>
                <w:szCs w:val="24"/>
                <w:lang w:eastAsia="x-none"/>
              </w:rPr>
            </w:pPr>
            <w:r w:rsidRPr="00F63E93">
              <w:rPr>
                <w:rFonts w:eastAsia="Batang"/>
                <w:szCs w:val="24"/>
                <w:highlight w:val="green"/>
                <w:lang w:eastAsia="x-none"/>
              </w:rPr>
              <w:t>Agreement:</w:t>
            </w:r>
          </w:p>
          <w:p w14:paraId="53F33EA9" w14:textId="77777777" w:rsidR="00F63E93" w:rsidRPr="00F63E93" w:rsidRDefault="00F63E93" w:rsidP="00F63E93">
            <w:pPr>
              <w:spacing w:before="0" w:after="0"/>
              <w:rPr>
                <w:rFonts w:eastAsia="Batang"/>
                <w:szCs w:val="24"/>
              </w:rPr>
            </w:pPr>
            <w:r w:rsidRPr="00F63E93">
              <w:rPr>
                <w:rFonts w:eastAsia="Batang"/>
                <w:szCs w:val="24"/>
              </w:rPr>
              <w:t>For RRC_IDLE/RRC_INACTIVE UEs, one common frequency resource for group-common PDCCH/PDSCH can be defined/configured.</w:t>
            </w:r>
          </w:p>
          <w:p w14:paraId="35B7BB54" w14:textId="77777777" w:rsidR="00F63E93" w:rsidRPr="00F63E93" w:rsidRDefault="00F63E93" w:rsidP="00F63E93">
            <w:pPr>
              <w:numPr>
                <w:ilvl w:val="0"/>
                <w:numId w:val="19"/>
              </w:numPr>
              <w:spacing w:before="0" w:after="0"/>
              <w:rPr>
                <w:rFonts w:eastAsia="Batang"/>
                <w:szCs w:val="24"/>
                <w:lang w:eastAsia="x-none"/>
              </w:rPr>
            </w:pPr>
            <w:r w:rsidRPr="00F63E93">
              <w:rPr>
                <w:rFonts w:eastAsia="Batang"/>
                <w:szCs w:val="24"/>
                <w:lang w:eastAsia="x-none"/>
              </w:rPr>
              <w:t>FFS: whether to define/configure more than one common frequency resources</w:t>
            </w:r>
          </w:p>
          <w:p w14:paraId="649A4880" w14:textId="77777777" w:rsidR="00F63E93" w:rsidRPr="00F63E93" w:rsidRDefault="00F63E93" w:rsidP="00F63E93">
            <w:pPr>
              <w:spacing w:before="0" w:after="0"/>
              <w:rPr>
                <w:rFonts w:eastAsia="Batang"/>
                <w:szCs w:val="24"/>
              </w:rPr>
            </w:pPr>
          </w:p>
          <w:p w14:paraId="0DDC3F2E" w14:textId="77777777" w:rsidR="00F63E93" w:rsidRPr="00F63E93" w:rsidRDefault="00F63E93" w:rsidP="00F63E93">
            <w:pPr>
              <w:spacing w:before="0" w:after="0"/>
              <w:rPr>
                <w:rFonts w:eastAsia="Batang"/>
                <w:szCs w:val="24"/>
                <w:lang w:eastAsia="x-none"/>
              </w:rPr>
            </w:pPr>
            <w:r w:rsidRPr="00F63E93">
              <w:rPr>
                <w:rFonts w:eastAsia="Batang"/>
                <w:szCs w:val="24"/>
                <w:highlight w:val="green"/>
                <w:lang w:eastAsia="x-none"/>
              </w:rPr>
              <w:t>Agreement:</w:t>
            </w:r>
          </w:p>
          <w:p w14:paraId="557071AB" w14:textId="77777777" w:rsidR="00F63E93" w:rsidRPr="00F63E93" w:rsidRDefault="00F63E93" w:rsidP="00F63E93">
            <w:pPr>
              <w:spacing w:before="0" w:after="0"/>
              <w:rPr>
                <w:rFonts w:eastAsia="Batang"/>
                <w:szCs w:val="24"/>
                <w:lang w:eastAsia="x-none"/>
              </w:rPr>
            </w:pPr>
            <w:r w:rsidRPr="00F63E93">
              <w:rPr>
                <w:rFonts w:eastAsia="Batang"/>
                <w:szCs w:val="24"/>
                <w:lang w:eastAsia="x-none"/>
              </w:rPr>
              <w:t xml:space="preserve">For RRC_IDLE/RRC_INACTIVE UEs, for broadcast reception, the UE may assume that </w:t>
            </w:r>
            <w:proofErr w:type="gramStart"/>
            <w:r w:rsidRPr="00F63E93">
              <w:rPr>
                <w:rFonts w:eastAsia="Batang"/>
                <w:szCs w:val="24"/>
                <w:lang w:eastAsia="x-none"/>
              </w:rPr>
              <w:t>group-common</w:t>
            </w:r>
            <w:proofErr w:type="gramEnd"/>
            <w:r w:rsidRPr="00F63E93">
              <w:rPr>
                <w:rFonts w:eastAsia="Batang"/>
                <w:szCs w:val="24"/>
                <w:lang w:eastAsia="x-none"/>
              </w:rPr>
              <w:t xml:space="preserve"> PDCCH/PDSCH is </w:t>
            </w:r>
            <w:proofErr w:type="spellStart"/>
            <w:r w:rsidRPr="00F63E93">
              <w:rPr>
                <w:rFonts w:eastAsia="Batang"/>
                <w:szCs w:val="24"/>
                <w:lang w:eastAsia="x-none"/>
              </w:rPr>
              <w:t>QCL’d</w:t>
            </w:r>
            <w:proofErr w:type="spellEnd"/>
            <w:r w:rsidRPr="00F63E93">
              <w:rPr>
                <w:rFonts w:eastAsia="Batang"/>
                <w:szCs w:val="24"/>
                <w:lang w:eastAsia="x-none"/>
              </w:rPr>
              <w:t xml:space="preserve"> with SSB.</w:t>
            </w:r>
          </w:p>
          <w:p w14:paraId="55C5A288" w14:textId="77777777" w:rsidR="00F63E93" w:rsidRPr="00F63E93" w:rsidRDefault="00F63E93" w:rsidP="00F63E93">
            <w:pPr>
              <w:numPr>
                <w:ilvl w:val="0"/>
                <w:numId w:val="20"/>
              </w:numPr>
              <w:overflowPunct/>
              <w:autoSpaceDE/>
              <w:autoSpaceDN/>
              <w:adjustRightInd/>
              <w:spacing w:before="0" w:after="0"/>
              <w:textAlignment w:val="auto"/>
              <w:rPr>
                <w:rFonts w:eastAsia="Batang"/>
                <w:szCs w:val="24"/>
                <w:lang w:eastAsia="x-none"/>
              </w:rPr>
            </w:pPr>
            <w:r w:rsidRPr="00F63E93">
              <w:rPr>
                <w:rFonts w:eastAsia="Batang"/>
                <w:szCs w:val="24"/>
                <w:lang w:eastAsia="x-none"/>
              </w:rPr>
              <w:t xml:space="preserve">It is up to UE implementation whether UE monitors monitoring occasions corresponding to all SSB indexes or monitoring occasions corresponding to a subset of all SSB indexes. </w:t>
            </w:r>
          </w:p>
          <w:p w14:paraId="19F92D73" w14:textId="77777777" w:rsidR="00F63E93" w:rsidRPr="00F63E93" w:rsidRDefault="00F63E93" w:rsidP="00F63E93">
            <w:pPr>
              <w:numPr>
                <w:ilvl w:val="0"/>
                <w:numId w:val="20"/>
              </w:numPr>
              <w:overflowPunct/>
              <w:autoSpaceDE/>
              <w:autoSpaceDN/>
              <w:adjustRightInd/>
              <w:spacing w:before="0" w:after="0"/>
              <w:textAlignment w:val="auto"/>
              <w:rPr>
                <w:rFonts w:eastAsia="Batang"/>
                <w:szCs w:val="24"/>
                <w:lang w:eastAsia="x-none"/>
              </w:rPr>
            </w:pPr>
            <w:r w:rsidRPr="00F63E93">
              <w:rPr>
                <w:rFonts w:eastAsia="Batang"/>
                <w:szCs w:val="24"/>
                <w:lang w:eastAsia="x-none"/>
              </w:rPr>
              <w:t>FFS: association rules between SSB indexes and UE monitoring occasions.</w:t>
            </w:r>
          </w:p>
          <w:p w14:paraId="075159CA" w14:textId="77777777" w:rsidR="00F63E93" w:rsidRPr="00F63E93" w:rsidRDefault="00F63E93" w:rsidP="00F63E93">
            <w:pPr>
              <w:numPr>
                <w:ilvl w:val="0"/>
                <w:numId w:val="20"/>
              </w:numPr>
              <w:overflowPunct/>
              <w:autoSpaceDE/>
              <w:autoSpaceDN/>
              <w:adjustRightInd/>
              <w:spacing w:before="0" w:after="0"/>
              <w:textAlignment w:val="auto"/>
              <w:rPr>
                <w:rFonts w:eastAsia="Batang"/>
                <w:szCs w:val="24"/>
                <w:lang w:eastAsia="x-none"/>
              </w:rPr>
            </w:pPr>
            <w:r w:rsidRPr="00F63E93">
              <w:rPr>
                <w:rFonts w:eastAsia="Batang"/>
                <w:szCs w:val="24"/>
                <w:lang w:eastAsia="x-none"/>
              </w:rPr>
              <w:t xml:space="preserve">FFS: group-common PDCCH/PDSCH is </w:t>
            </w:r>
            <w:proofErr w:type="spellStart"/>
            <w:r w:rsidRPr="00F63E93">
              <w:rPr>
                <w:rFonts w:eastAsia="Batang"/>
                <w:szCs w:val="24"/>
                <w:lang w:eastAsia="x-none"/>
              </w:rPr>
              <w:t>QCl’d</w:t>
            </w:r>
            <w:proofErr w:type="spellEnd"/>
            <w:r w:rsidRPr="00F63E93">
              <w:rPr>
                <w:rFonts w:eastAsia="Batang"/>
                <w:szCs w:val="24"/>
                <w:lang w:eastAsia="x-none"/>
              </w:rPr>
              <w:t xml:space="preserve"> with TRS if configured</w:t>
            </w:r>
          </w:p>
          <w:p w14:paraId="56EE5906" w14:textId="77777777" w:rsidR="00F63E93" w:rsidRPr="00F63E93" w:rsidRDefault="00F63E93" w:rsidP="00F63E93">
            <w:pPr>
              <w:spacing w:before="0" w:after="0"/>
              <w:rPr>
                <w:rFonts w:eastAsia="Batang"/>
                <w:szCs w:val="24"/>
                <w:lang w:eastAsia="x-none"/>
              </w:rPr>
            </w:pPr>
          </w:p>
          <w:p w14:paraId="10DA0F54" w14:textId="77777777" w:rsidR="00F63E93" w:rsidRPr="00F63E93" w:rsidRDefault="00F63E93" w:rsidP="00F63E93">
            <w:pPr>
              <w:spacing w:before="0" w:after="0"/>
              <w:rPr>
                <w:rFonts w:eastAsia="Batang"/>
                <w:szCs w:val="24"/>
                <w:lang w:eastAsia="x-none"/>
              </w:rPr>
            </w:pPr>
            <w:r w:rsidRPr="00F63E93">
              <w:rPr>
                <w:rFonts w:eastAsia="Batang"/>
                <w:szCs w:val="24"/>
                <w:highlight w:val="green"/>
                <w:lang w:eastAsia="x-none"/>
              </w:rPr>
              <w:t>Agreement:</w:t>
            </w:r>
          </w:p>
          <w:p w14:paraId="188ABC52" w14:textId="77777777" w:rsidR="00F63E93" w:rsidRPr="00F63E93" w:rsidRDefault="00F63E93" w:rsidP="00F63E93">
            <w:pPr>
              <w:spacing w:before="0" w:after="0"/>
              <w:rPr>
                <w:rFonts w:eastAsia="Batang"/>
                <w:szCs w:val="24"/>
                <w:lang w:eastAsia="x-none"/>
              </w:rPr>
            </w:pPr>
            <w:r w:rsidRPr="00F63E93">
              <w:rPr>
                <w:rFonts w:eastAsia="Batang"/>
                <w:szCs w:val="24"/>
                <w:lang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D674F1D" w14:textId="77777777" w:rsidR="00F63E93" w:rsidRPr="00F63E93" w:rsidRDefault="00F63E93" w:rsidP="00F63E93">
            <w:pPr>
              <w:numPr>
                <w:ilvl w:val="0"/>
                <w:numId w:val="21"/>
              </w:numPr>
              <w:overflowPunct/>
              <w:autoSpaceDE/>
              <w:autoSpaceDN/>
              <w:adjustRightInd/>
              <w:spacing w:before="0" w:after="0"/>
              <w:textAlignment w:val="auto"/>
              <w:rPr>
                <w:rFonts w:eastAsia="Batang"/>
                <w:szCs w:val="24"/>
                <w:lang w:eastAsia="x-none"/>
              </w:rPr>
            </w:pPr>
            <w:r w:rsidRPr="00F63E93">
              <w:rPr>
                <w:rFonts w:eastAsia="Batang"/>
                <w:szCs w:val="24"/>
                <w:lang w:eastAsia="x-none"/>
              </w:rPr>
              <w:t>FFS: the case when UE-specific active BWP of RRC_CONNECTED UE does not contain the common frequency resource of RRC_IDLE/INACTIVE UEs.</w:t>
            </w:r>
          </w:p>
          <w:p w14:paraId="1F52BD4A" w14:textId="77777777" w:rsidR="00F63E93" w:rsidRPr="00F63E93" w:rsidRDefault="00F63E93" w:rsidP="00F63E93">
            <w:pPr>
              <w:spacing w:before="0" w:after="0"/>
              <w:rPr>
                <w:rFonts w:eastAsia="Batang"/>
                <w:szCs w:val="24"/>
                <w:lang w:eastAsia="x-none"/>
              </w:rPr>
            </w:pPr>
          </w:p>
          <w:p w14:paraId="44348ABC" w14:textId="77777777" w:rsidR="00F63E93" w:rsidRPr="00F63E93" w:rsidRDefault="00F63E93" w:rsidP="00F63E93">
            <w:pPr>
              <w:spacing w:before="0" w:after="0"/>
              <w:rPr>
                <w:rFonts w:eastAsia="Batang"/>
                <w:szCs w:val="24"/>
                <w:lang w:eastAsia="x-none"/>
              </w:rPr>
            </w:pPr>
          </w:p>
          <w:p w14:paraId="2EBB39BF" w14:textId="77777777" w:rsidR="00F63E93" w:rsidRPr="00F63E93" w:rsidRDefault="00F63E93" w:rsidP="00F63E93">
            <w:pPr>
              <w:spacing w:before="0" w:after="0"/>
              <w:rPr>
                <w:rFonts w:eastAsia="Batang"/>
                <w:szCs w:val="24"/>
                <w:lang w:eastAsia="x-none"/>
              </w:rPr>
            </w:pPr>
            <w:r w:rsidRPr="00F63E93">
              <w:rPr>
                <w:rFonts w:eastAsia="Batang"/>
                <w:szCs w:val="24"/>
                <w:highlight w:val="green"/>
                <w:lang w:eastAsia="x-none"/>
              </w:rPr>
              <w:t>Agreement:</w:t>
            </w:r>
          </w:p>
          <w:p w14:paraId="5FA319FE" w14:textId="77777777" w:rsidR="00F63E93" w:rsidRPr="00F63E93" w:rsidRDefault="00F63E93" w:rsidP="00F63E93">
            <w:pPr>
              <w:spacing w:before="0" w:after="0"/>
              <w:rPr>
                <w:rFonts w:eastAsia="Batang"/>
                <w:szCs w:val="24"/>
              </w:rPr>
            </w:pPr>
            <w:r w:rsidRPr="00F63E93">
              <w:rPr>
                <w:rFonts w:eastAsia="Batang"/>
                <w:szCs w:val="24"/>
              </w:rPr>
              <w:t xml:space="preserve">For RRC_IDLE/RRC_INACTIVE UEs, for broadcast reception, further study the following cases of a configured/defined specific common frequency resource (CFR) for group-common PDCCH/PDSCH, </w:t>
            </w:r>
            <w:r w:rsidRPr="00F63E93">
              <w:rPr>
                <w:rFonts w:eastAsia="Batang"/>
                <w:szCs w:val="24"/>
                <w:u w:val="single"/>
              </w:rPr>
              <w:t>and identify which case(s) will be supported</w:t>
            </w:r>
            <w:r w:rsidRPr="00F63E93">
              <w:rPr>
                <w:rFonts w:eastAsia="Batang"/>
                <w:szCs w:val="24"/>
              </w:rPr>
              <w:t>:</w:t>
            </w:r>
          </w:p>
          <w:p w14:paraId="0F291BAA" w14:textId="77777777" w:rsidR="00F63E93" w:rsidRPr="00F63E93" w:rsidRDefault="00F63E93" w:rsidP="00F63E93">
            <w:pPr>
              <w:numPr>
                <w:ilvl w:val="0"/>
                <w:numId w:val="22"/>
              </w:numPr>
              <w:spacing w:before="0" w:after="0"/>
              <w:rPr>
                <w:rFonts w:eastAsia="Batang"/>
                <w:szCs w:val="24"/>
                <w:lang w:eastAsia="x-none"/>
              </w:rPr>
            </w:pPr>
            <w:r w:rsidRPr="00F63E93">
              <w:rPr>
                <w:rFonts w:eastAsia="Batang"/>
                <w:szCs w:val="24"/>
                <w:lang w:eastAsia="x-none"/>
              </w:rPr>
              <w:t xml:space="preserve">[Case E] the case where a CFR is defined based on a configured BWP. </w:t>
            </w:r>
          </w:p>
          <w:p w14:paraId="3716FBEF" w14:textId="77777777" w:rsidR="00F63E93" w:rsidRPr="00F63E93" w:rsidRDefault="00F63E93" w:rsidP="00F63E93">
            <w:pPr>
              <w:numPr>
                <w:ilvl w:val="1"/>
                <w:numId w:val="22"/>
              </w:numPr>
              <w:spacing w:before="0" w:after="0"/>
              <w:rPr>
                <w:rFonts w:eastAsia="Batang"/>
                <w:szCs w:val="24"/>
                <w:lang w:eastAsia="x-none"/>
              </w:rPr>
            </w:pPr>
            <w:proofErr w:type="gramStart"/>
            <w:r w:rsidRPr="00F63E93">
              <w:rPr>
                <w:rFonts w:eastAsia="Batang"/>
                <w:szCs w:val="24"/>
                <w:lang w:eastAsia="x-none"/>
              </w:rPr>
              <w:t>In particular, study</w:t>
            </w:r>
            <w:proofErr w:type="gramEnd"/>
            <w:r w:rsidRPr="00F63E93">
              <w:rPr>
                <w:rFonts w:eastAsia="Batang"/>
                <w:szCs w:val="24"/>
                <w:lang w:eastAsia="x-none"/>
              </w:rPr>
              <w:t xml:space="preserve"> the following:</w:t>
            </w:r>
          </w:p>
          <w:p w14:paraId="07CBDBFD" w14:textId="77777777" w:rsidR="00F63E93" w:rsidRPr="00F63E93" w:rsidRDefault="00F63E93" w:rsidP="00F63E93">
            <w:pPr>
              <w:numPr>
                <w:ilvl w:val="2"/>
                <w:numId w:val="22"/>
              </w:numPr>
              <w:spacing w:before="0" w:after="0"/>
              <w:rPr>
                <w:rFonts w:eastAsia="Batang"/>
                <w:szCs w:val="24"/>
                <w:lang w:eastAsia="x-none"/>
              </w:rPr>
            </w:pPr>
            <w:r w:rsidRPr="00F63E93">
              <w:rPr>
                <w:rFonts w:eastAsia="Batang"/>
                <w:szCs w:val="24"/>
                <w:lang w:eastAsia="x-none"/>
              </w:rPr>
              <w:t>whether a configured BWP for MBS is needed or not.</w:t>
            </w:r>
          </w:p>
          <w:p w14:paraId="32C33C6C" w14:textId="77777777" w:rsidR="00F63E93" w:rsidRPr="00F63E93" w:rsidRDefault="00F63E93" w:rsidP="00F63E93">
            <w:pPr>
              <w:numPr>
                <w:ilvl w:val="2"/>
                <w:numId w:val="22"/>
              </w:numPr>
              <w:spacing w:before="0" w:after="0"/>
              <w:rPr>
                <w:rFonts w:eastAsia="Batang"/>
                <w:szCs w:val="24"/>
                <w:lang w:eastAsia="x-none"/>
              </w:rPr>
            </w:pPr>
            <w:r w:rsidRPr="00F63E93">
              <w:rPr>
                <w:rFonts w:eastAsia="Batang"/>
                <w:szCs w:val="24"/>
                <w:lang w:eastAsia="x-none"/>
              </w:rPr>
              <w:t xml:space="preserve">whether </w:t>
            </w:r>
            <w:r w:rsidRPr="00F63E93">
              <w:rPr>
                <w:rFonts w:eastAsia="Batang"/>
                <w:szCs w:val="24"/>
              </w:rPr>
              <w:t xml:space="preserve">BWP switching is needed or not. </w:t>
            </w:r>
          </w:p>
          <w:p w14:paraId="06F1C7F7" w14:textId="77777777" w:rsidR="00F63E93" w:rsidRPr="00F63E93" w:rsidRDefault="00F63E93" w:rsidP="00F63E93">
            <w:pPr>
              <w:numPr>
                <w:ilvl w:val="1"/>
                <w:numId w:val="22"/>
              </w:numPr>
              <w:spacing w:before="0" w:after="0"/>
              <w:rPr>
                <w:rFonts w:eastAsia="Batang"/>
                <w:szCs w:val="24"/>
                <w:lang w:eastAsia="x-none"/>
              </w:rPr>
            </w:pPr>
            <w:r w:rsidRPr="00F63E93">
              <w:rPr>
                <w:rFonts w:eastAsia="Batang"/>
                <w:szCs w:val="24"/>
                <w:lang w:eastAsia="x-none"/>
              </w:rPr>
              <w:t>In this study, the configured BWP has the following properties:</w:t>
            </w:r>
          </w:p>
          <w:p w14:paraId="04910236" w14:textId="77777777" w:rsidR="00F63E93" w:rsidRPr="00F63E93" w:rsidRDefault="00F63E93" w:rsidP="00F63E93">
            <w:pPr>
              <w:numPr>
                <w:ilvl w:val="2"/>
                <w:numId w:val="22"/>
              </w:numPr>
              <w:spacing w:before="0" w:after="0"/>
              <w:rPr>
                <w:rFonts w:eastAsia="Batang"/>
                <w:szCs w:val="24"/>
                <w:lang w:eastAsia="x-none"/>
              </w:rPr>
            </w:pPr>
            <w:r w:rsidRPr="00F63E93">
              <w:rPr>
                <w:rFonts w:eastAsia="Batang"/>
                <w:szCs w:val="24"/>
                <w:lang w:eastAsia="x-none"/>
              </w:rPr>
              <w:t xml:space="preserve">The configured BWP is different than the initial BWP where the frequency resources of this initial BWP are configured smaller than the full carrier bandwidth. </w:t>
            </w:r>
          </w:p>
          <w:p w14:paraId="4A0E7CED" w14:textId="77777777" w:rsidR="00F63E93" w:rsidRPr="00F63E93" w:rsidRDefault="00F63E93" w:rsidP="00F63E93">
            <w:pPr>
              <w:numPr>
                <w:ilvl w:val="2"/>
                <w:numId w:val="22"/>
              </w:numPr>
              <w:spacing w:before="0" w:after="0"/>
              <w:rPr>
                <w:rFonts w:eastAsia="Batang"/>
                <w:szCs w:val="24"/>
                <w:lang w:eastAsia="x-none"/>
              </w:rPr>
            </w:pPr>
            <w:r w:rsidRPr="00F63E93">
              <w:rPr>
                <w:rFonts w:eastAsia="Batang"/>
                <w:szCs w:val="24"/>
                <w:lang w:eastAsia="x-none"/>
              </w:rPr>
              <w:t>The CFR has the frequency resources identical to the configured BWP.</w:t>
            </w:r>
          </w:p>
          <w:p w14:paraId="28DB697D" w14:textId="77777777" w:rsidR="00F63E93" w:rsidRPr="00F63E93" w:rsidRDefault="00F63E93" w:rsidP="00F63E93">
            <w:pPr>
              <w:numPr>
                <w:ilvl w:val="2"/>
                <w:numId w:val="22"/>
              </w:numPr>
              <w:spacing w:before="0" w:after="0"/>
              <w:rPr>
                <w:rFonts w:eastAsia="Batang"/>
                <w:szCs w:val="24"/>
                <w:lang w:eastAsia="x-none"/>
              </w:rPr>
            </w:pPr>
            <w:r w:rsidRPr="00F63E93">
              <w:rPr>
                <w:rFonts w:eastAsia="Batang"/>
                <w:szCs w:val="24"/>
                <w:lang w:eastAsia="x-none"/>
              </w:rPr>
              <w:t xml:space="preserve">The configured BWP needs to fully contain the initial BWP in frequency domain and has the same SCS and CP as the initial BWP. </w:t>
            </w:r>
          </w:p>
          <w:p w14:paraId="046AAEA4" w14:textId="77777777" w:rsidR="00F63E93" w:rsidRPr="00F63E93" w:rsidRDefault="00F63E93" w:rsidP="00F63E93">
            <w:pPr>
              <w:numPr>
                <w:ilvl w:val="1"/>
                <w:numId w:val="22"/>
              </w:numPr>
              <w:spacing w:before="0" w:after="0"/>
              <w:rPr>
                <w:rFonts w:eastAsia="Batang"/>
                <w:szCs w:val="24"/>
                <w:lang w:eastAsia="x-none"/>
              </w:rPr>
            </w:pPr>
            <w:r w:rsidRPr="00F63E93">
              <w:rPr>
                <w:rFonts w:eastAsia="Batang"/>
                <w:szCs w:val="24"/>
                <w:lang w:eastAsia="x-none"/>
              </w:rPr>
              <w:t>Note: The configured BWP is not larger than the carrier bandwidth</w:t>
            </w:r>
          </w:p>
          <w:p w14:paraId="0BBA6EF9" w14:textId="77777777" w:rsidR="00F63E93" w:rsidRPr="00F63E93" w:rsidRDefault="00F63E93" w:rsidP="00F63E93">
            <w:pPr>
              <w:numPr>
                <w:ilvl w:val="0"/>
                <w:numId w:val="22"/>
              </w:numPr>
              <w:spacing w:before="0" w:after="0"/>
              <w:rPr>
                <w:rFonts w:eastAsia="Batang"/>
                <w:szCs w:val="24"/>
                <w:lang w:eastAsia="x-none"/>
              </w:rPr>
            </w:pPr>
            <w:r w:rsidRPr="00F63E93">
              <w:rPr>
                <w:rFonts w:eastAsia="Batang"/>
                <w:szCs w:val="24"/>
                <w:lang w:eastAsia="x-none"/>
              </w:rPr>
              <w:t>the case where the initial BWP fully contains the CFR in the frequency domain.</w:t>
            </w:r>
          </w:p>
          <w:p w14:paraId="0A3FEC13" w14:textId="77777777" w:rsidR="00F63E93" w:rsidRPr="00F63E93" w:rsidRDefault="00F63E93" w:rsidP="00F63E93">
            <w:pPr>
              <w:numPr>
                <w:ilvl w:val="1"/>
                <w:numId w:val="22"/>
              </w:numPr>
              <w:spacing w:before="0" w:after="0"/>
              <w:rPr>
                <w:rFonts w:eastAsia="Batang"/>
                <w:szCs w:val="24"/>
                <w:lang w:eastAsia="x-none"/>
              </w:rPr>
            </w:pPr>
            <w:r w:rsidRPr="00F63E93">
              <w:rPr>
                <w:rFonts w:eastAsia="Batang"/>
                <w:szCs w:val="24"/>
                <w:lang w:eastAsia="x-none"/>
              </w:rPr>
              <w:t>In this study the following sub-cases are considered:</w:t>
            </w:r>
          </w:p>
          <w:p w14:paraId="51504F6C" w14:textId="77777777" w:rsidR="00F63E93" w:rsidRPr="00F63E93" w:rsidRDefault="00F63E93" w:rsidP="00F63E93">
            <w:pPr>
              <w:numPr>
                <w:ilvl w:val="2"/>
                <w:numId w:val="22"/>
              </w:numPr>
              <w:spacing w:before="0" w:after="0"/>
              <w:rPr>
                <w:rFonts w:eastAsia="Batang"/>
                <w:szCs w:val="24"/>
              </w:rPr>
            </w:pPr>
            <w:r w:rsidRPr="00F63E93">
              <w:rPr>
                <w:rFonts w:eastAsia="Batang"/>
                <w:szCs w:val="24"/>
              </w:rPr>
              <w:t>[Case B] A CFR with smaller size than the initial BWP, where the initial BWP has the same frequency resources as CORESET0. In this case the CFR has the frequency resources confined within the initial BWP and have the same SCS and CP as the initial BWP.</w:t>
            </w:r>
          </w:p>
          <w:p w14:paraId="1103B6C2" w14:textId="77777777" w:rsidR="00F63E93" w:rsidRPr="00F63E93" w:rsidRDefault="00F63E93" w:rsidP="00F63E93">
            <w:pPr>
              <w:numPr>
                <w:ilvl w:val="2"/>
                <w:numId w:val="22"/>
              </w:numPr>
              <w:spacing w:before="0" w:after="0"/>
              <w:rPr>
                <w:rFonts w:eastAsia="Batang"/>
                <w:szCs w:val="24"/>
              </w:rPr>
            </w:pPr>
            <w:r w:rsidRPr="00F63E93">
              <w:rPr>
                <w:rFonts w:eastAsia="Batang"/>
                <w:szCs w:val="24"/>
              </w:rPr>
              <w:t>[Case D] A CFR with smaller size than the initial BWP, where the initial BWP has the frequency resources configured by SIB1. In this case the CFR has the frequency resources confined within the initial BWP and have the same SCS and CP as the initial BWP.</w:t>
            </w:r>
          </w:p>
          <w:p w14:paraId="5686DFC1" w14:textId="77777777" w:rsidR="00F63E93" w:rsidRPr="00F63E93" w:rsidRDefault="00F63E93" w:rsidP="00F63E93">
            <w:pPr>
              <w:numPr>
                <w:ilvl w:val="1"/>
                <w:numId w:val="22"/>
              </w:numPr>
              <w:spacing w:before="0" w:after="0"/>
              <w:rPr>
                <w:rFonts w:eastAsia="Batang"/>
                <w:szCs w:val="24"/>
                <w:lang w:eastAsia="x-none"/>
              </w:rPr>
            </w:pPr>
            <w:proofErr w:type="gramStart"/>
            <w:r w:rsidRPr="00F63E93">
              <w:rPr>
                <w:rFonts w:eastAsia="Batang"/>
                <w:szCs w:val="24"/>
                <w:lang w:eastAsia="x-none"/>
              </w:rPr>
              <w:t>In particular, study</w:t>
            </w:r>
            <w:proofErr w:type="gramEnd"/>
            <w:r w:rsidRPr="00F63E93">
              <w:rPr>
                <w:rFonts w:eastAsia="Batang"/>
                <w:szCs w:val="24"/>
                <w:lang w:eastAsia="x-none"/>
              </w:rPr>
              <w:t xml:space="preserve"> the following:</w:t>
            </w:r>
          </w:p>
          <w:p w14:paraId="0F42E08F" w14:textId="77777777" w:rsidR="00F63E93" w:rsidRPr="00F63E93" w:rsidRDefault="00F63E93" w:rsidP="00F63E93">
            <w:pPr>
              <w:numPr>
                <w:ilvl w:val="2"/>
                <w:numId w:val="22"/>
              </w:numPr>
              <w:spacing w:before="0" w:after="0"/>
              <w:rPr>
                <w:rFonts w:eastAsia="Batang"/>
                <w:szCs w:val="24"/>
                <w:lang w:eastAsia="x-none"/>
              </w:rPr>
            </w:pPr>
            <w:r w:rsidRPr="00F63E93">
              <w:rPr>
                <w:rFonts w:eastAsia="Batang"/>
                <w:szCs w:val="24"/>
                <w:lang w:eastAsia="x-none"/>
              </w:rPr>
              <w:t>Whether the considered two options with a CFR with smaller size than the initial BWP are needed or not for MBS.</w:t>
            </w:r>
          </w:p>
          <w:p w14:paraId="13AD8194" w14:textId="77777777" w:rsidR="00F63E93" w:rsidRPr="00F63E93" w:rsidRDefault="00F63E93" w:rsidP="00F63E93">
            <w:pPr>
              <w:numPr>
                <w:ilvl w:val="0"/>
                <w:numId w:val="22"/>
              </w:numPr>
              <w:spacing w:before="0" w:after="0"/>
              <w:rPr>
                <w:rFonts w:eastAsia="Batang"/>
                <w:szCs w:val="24"/>
                <w:lang w:eastAsia="x-none"/>
              </w:rPr>
            </w:pPr>
            <w:r w:rsidRPr="00F63E93">
              <w:rPr>
                <w:rFonts w:eastAsia="Batang"/>
                <w:szCs w:val="24"/>
                <w:lang w:eastAsia="x-none"/>
              </w:rPr>
              <w:t xml:space="preserve">the case where the initial BWP has same size as the CFR in the frequency domain. </w:t>
            </w:r>
          </w:p>
          <w:p w14:paraId="0250C404" w14:textId="77777777" w:rsidR="00F63E93" w:rsidRPr="00F63E93" w:rsidRDefault="00F63E93" w:rsidP="00F63E93">
            <w:pPr>
              <w:numPr>
                <w:ilvl w:val="1"/>
                <w:numId w:val="22"/>
              </w:numPr>
              <w:spacing w:before="0" w:after="0"/>
              <w:rPr>
                <w:rFonts w:eastAsia="Batang"/>
                <w:szCs w:val="24"/>
                <w:lang w:eastAsia="x-none"/>
              </w:rPr>
            </w:pPr>
            <w:r w:rsidRPr="00F63E93">
              <w:rPr>
                <w:rFonts w:eastAsia="Batang"/>
                <w:szCs w:val="24"/>
                <w:lang w:eastAsia="x-none"/>
              </w:rPr>
              <w:t>In this study the following two sub-cases are considered:</w:t>
            </w:r>
          </w:p>
          <w:p w14:paraId="6F7C783C" w14:textId="77777777" w:rsidR="00F63E93" w:rsidRPr="00F63E93" w:rsidRDefault="00F63E93" w:rsidP="00F63E93">
            <w:pPr>
              <w:numPr>
                <w:ilvl w:val="2"/>
                <w:numId w:val="22"/>
              </w:numPr>
              <w:spacing w:before="0" w:after="0"/>
              <w:rPr>
                <w:rFonts w:eastAsia="Batang"/>
                <w:szCs w:val="24"/>
                <w:lang w:eastAsia="x-none"/>
              </w:rPr>
            </w:pPr>
            <w:r w:rsidRPr="00F63E93">
              <w:rPr>
                <w:rFonts w:eastAsia="Batang"/>
                <w:szCs w:val="24"/>
                <w:lang w:eastAsia="x-none"/>
              </w:rPr>
              <w:lastRenderedPageBreak/>
              <w:t>[Case A] A CFR with the same size as the initial BWP, where the initial BWP has the same frequency resources as CORESET0. In this case the CFR has the same frequency resources and same SCS and CP as the initial BWP.</w:t>
            </w:r>
          </w:p>
          <w:p w14:paraId="151D8B24" w14:textId="77777777" w:rsidR="00F63E93" w:rsidRPr="00F63E93" w:rsidRDefault="00F63E93" w:rsidP="00F63E93">
            <w:pPr>
              <w:numPr>
                <w:ilvl w:val="2"/>
                <w:numId w:val="22"/>
              </w:numPr>
              <w:spacing w:before="0" w:after="0"/>
              <w:rPr>
                <w:rFonts w:eastAsia="Batang"/>
                <w:szCs w:val="24"/>
                <w:lang w:eastAsia="x-none"/>
              </w:rPr>
            </w:pPr>
            <w:r w:rsidRPr="00F63E93">
              <w:rPr>
                <w:rFonts w:eastAsia="Batang"/>
                <w:szCs w:val="24"/>
                <w:lang w:eastAsia="x-none"/>
              </w:rPr>
              <w:t>[Case C] A CFR with same size as the initial BWP, where the initial BWP has the frequency resources configured by SIB1. In this case the CFR has the same frequency resources and same SCS and CP as the initial BWP.</w:t>
            </w:r>
          </w:p>
          <w:p w14:paraId="296F9981" w14:textId="77777777" w:rsidR="00F63E93" w:rsidRPr="00F63E93" w:rsidRDefault="00F63E93" w:rsidP="00F63E93">
            <w:pPr>
              <w:numPr>
                <w:ilvl w:val="1"/>
                <w:numId w:val="22"/>
              </w:numPr>
              <w:spacing w:before="0" w:after="0"/>
              <w:rPr>
                <w:rFonts w:eastAsia="Batang"/>
                <w:szCs w:val="24"/>
                <w:lang w:eastAsia="x-none"/>
              </w:rPr>
            </w:pPr>
            <w:proofErr w:type="gramStart"/>
            <w:r w:rsidRPr="00F63E93">
              <w:rPr>
                <w:rFonts w:eastAsia="Batang"/>
                <w:szCs w:val="24"/>
                <w:lang w:eastAsia="x-none"/>
              </w:rPr>
              <w:t>In particular, study</w:t>
            </w:r>
            <w:proofErr w:type="gramEnd"/>
            <w:r w:rsidRPr="00F63E93">
              <w:rPr>
                <w:rFonts w:eastAsia="Batang"/>
                <w:szCs w:val="24"/>
                <w:lang w:eastAsia="x-none"/>
              </w:rPr>
              <w:t xml:space="preserve"> the following:</w:t>
            </w:r>
          </w:p>
          <w:p w14:paraId="23DECD7C" w14:textId="3960B0E5" w:rsidR="00D97E6C" w:rsidRPr="00F63E93" w:rsidRDefault="00F63E93" w:rsidP="00F63E93">
            <w:pPr>
              <w:spacing w:before="0" w:after="0"/>
              <w:rPr>
                <w:lang w:val="en-US"/>
              </w:rPr>
            </w:pPr>
            <w:r w:rsidRPr="00F63E93">
              <w:rPr>
                <w:rFonts w:eastAsia="Batang"/>
                <w:szCs w:val="24"/>
                <w:lang w:eastAsia="x-none"/>
              </w:rPr>
              <w:t>Whether the considered two options with a CFR with the same size as the initial BWP are needed or not for MBS</w:t>
            </w:r>
          </w:p>
        </w:tc>
      </w:tr>
    </w:tbl>
    <w:p w14:paraId="3D4BA6EC" w14:textId="03892DA7" w:rsidR="00D97E6C" w:rsidRDefault="00D97E6C" w:rsidP="00DA5B2F">
      <w:pPr>
        <w:rPr>
          <w:lang w:val="en-US"/>
        </w:rPr>
      </w:pPr>
    </w:p>
    <w:p w14:paraId="40A9000A" w14:textId="5F905C78" w:rsidR="003C4A8B" w:rsidRPr="00DA5B2F" w:rsidRDefault="00CD6072" w:rsidP="00DA5B2F">
      <w:pPr>
        <w:rPr>
          <w:lang w:val="en-US"/>
        </w:rPr>
      </w:pPr>
      <w:r>
        <w:rPr>
          <w:lang w:val="en-US"/>
        </w:rPr>
        <w:t xml:space="preserve">For </w:t>
      </w:r>
      <w:r w:rsidR="003C4A8B">
        <w:rPr>
          <w:lang w:val="en-US"/>
        </w:rPr>
        <w:t xml:space="preserve">RRC_CONNECTED UEs, </w:t>
      </w:r>
      <w:r w:rsidR="00DE34AC">
        <w:rPr>
          <w:lang w:val="en-US"/>
        </w:rPr>
        <w:t>the MBS scheduling scheme wherein a group common PDCCH with CRC scrambled by a group RNTI schedules a PDSCH with scrambled by the same group RNTI</w:t>
      </w:r>
      <w:r w:rsidR="00E96E7B">
        <w:rPr>
          <w:lang w:val="en-US"/>
        </w:rPr>
        <w:t xml:space="preserve"> will be referred to as PTM Scheme 1. Furthermore, RAN2 agreed that RRC_IDLE</w:t>
      </w:r>
      <w:r w:rsidR="00C543F6">
        <w:rPr>
          <w:lang w:val="en-US"/>
        </w:rPr>
        <w:t>/INACTIVE UEs may only receive MBS transmissions in low QoS mode (delivery mode 2) which can also be received by RRC_CONNECTED UEs.</w:t>
      </w:r>
    </w:p>
    <w:p w14:paraId="240AF6F8" w14:textId="77777777" w:rsidR="002D5F03" w:rsidRDefault="00CD141F" w:rsidP="00380677">
      <w:pPr>
        <w:spacing w:after="0"/>
        <w:rPr>
          <w:lang w:val="en-US"/>
        </w:rPr>
      </w:pPr>
      <w:r w:rsidRPr="00DA5B2F">
        <w:rPr>
          <w:lang w:val="en-US"/>
        </w:rPr>
        <w:t>For RRC_</w:t>
      </w:r>
      <w:r w:rsidR="003C4A8B">
        <w:rPr>
          <w:lang w:val="en-US"/>
        </w:rPr>
        <w:t>IDLE/INACTIVE</w:t>
      </w:r>
      <w:r w:rsidRPr="00DA5B2F">
        <w:rPr>
          <w:lang w:val="en-US"/>
        </w:rPr>
        <w:t xml:space="preserve"> UEs, it was agreed to use a common frequency resource </w:t>
      </w:r>
      <w:r w:rsidR="00791E5B">
        <w:rPr>
          <w:lang w:val="en-US"/>
        </w:rPr>
        <w:t xml:space="preserve">(CFR) </w:t>
      </w:r>
      <w:r w:rsidRPr="00DA5B2F">
        <w:rPr>
          <w:lang w:val="en-US"/>
        </w:rPr>
        <w:t xml:space="preserve">for MBS PDSCH reception. </w:t>
      </w:r>
      <w:r w:rsidR="00FA275B">
        <w:rPr>
          <w:lang w:val="en-US"/>
        </w:rPr>
        <w:t xml:space="preserve">Based on discussion in RAN1#104e meeting, </w:t>
      </w:r>
      <w:r w:rsidR="00682BD2">
        <w:rPr>
          <w:lang w:val="en-US"/>
        </w:rPr>
        <w:t xml:space="preserve">the agreement above was reached to further study a few cases for CFR configuration. </w:t>
      </w:r>
      <w:r w:rsidR="001B1095">
        <w:rPr>
          <w:lang w:val="en-US"/>
        </w:rPr>
        <w:t>To this end, Cases A and C refer to a CFR which is identical in terms of frequency resources with the initial BWP</w:t>
      </w:r>
      <w:r w:rsidR="00791E5B">
        <w:rPr>
          <w:lang w:val="en-US"/>
        </w:rPr>
        <w:t>. This is a reasonable use case which can utilize the full band</w:t>
      </w:r>
      <w:r w:rsidR="006C2352">
        <w:rPr>
          <w:lang w:val="en-US"/>
        </w:rPr>
        <w:t xml:space="preserve">width of the initial BWP or CORESET#0. The use case for CFR smaller than the initial BWP is unclear since CFR should be configured on the CRB grid and should be able to address any FDRA within the initial BWP without the need for configuring a smaller CFR. Therefore, Cases B and D should not be supported. </w:t>
      </w:r>
    </w:p>
    <w:p w14:paraId="55073684" w14:textId="77777777" w:rsidR="002D5F03" w:rsidRDefault="002D5F03" w:rsidP="00380677">
      <w:pPr>
        <w:spacing w:after="0"/>
        <w:rPr>
          <w:lang w:val="en-US"/>
        </w:rPr>
      </w:pPr>
    </w:p>
    <w:p w14:paraId="77BC398D" w14:textId="79061DA1" w:rsidR="00A52209" w:rsidRPr="00DA5B2F" w:rsidRDefault="002D5F03" w:rsidP="00380677">
      <w:pPr>
        <w:spacing w:after="0"/>
        <w:rPr>
          <w:lang w:val="en-US"/>
        </w:rPr>
      </w:pPr>
      <w:r>
        <w:rPr>
          <w:lang w:val="en-US"/>
        </w:rPr>
        <w:t xml:space="preserve">Additionally, RAN2 has agreed and informed RAN1 that an IDLE/INACTIVE UE should be able to </w:t>
      </w:r>
      <w:r w:rsidR="00BC0742">
        <w:rPr>
          <w:lang w:val="en-US"/>
        </w:rPr>
        <w:t xml:space="preserve">monitor both the MCCH and the and SI/paging without BWP switch. Therefore, the PDCCH which schedules the </w:t>
      </w:r>
      <w:r w:rsidR="00035F65">
        <w:rPr>
          <w:lang w:val="en-US"/>
        </w:rPr>
        <w:t xml:space="preserve">MCCH and the </w:t>
      </w:r>
      <w:r w:rsidR="00BC0742">
        <w:rPr>
          <w:lang w:val="en-US"/>
        </w:rPr>
        <w:t xml:space="preserve">PDSCH carrying the </w:t>
      </w:r>
      <w:r w:rsidR="00035F65">
        <w:rPr>
          <w:lang w:val="en-US"/>
        </w:rPr>
        <w:t xml:space="preserve">MCCH needs to be confined within the initial BWP or CORESET#0 bandwidth. However, </w:t>
      </w:r>
      <w:r w:rsidR="009043C8">
        <w:rPr>
          <w:lang w:val="en-US"/>
        </w:rPr>
        <w:t>in some cases</w:t>
      </w:r>
      <w:r w:rsidR="00035F65">
        <w:rPr>
          <w:lang w:val="en-US"/>
        </w:rPr>
        <w:t xml:space="preserve">, </w:t>
      </w:r>
      <w:proofErr w:type="spellStart"/>
      <w:r w:rsidR="009043C8">
        <w:rPr>
          <w:lang w:val="en-US"/>
        </w:rPr>
        <w:t>the</w:t>
      </w:r>
      <w:proofErr w:type="spellEnd"/>
      <w:r w:rsidR="009043C8">
        <w:rPr>
          <w:lang w:val="en-US"/>
        </w:rPr>
        <w:t xml:space="preserve"> initial BWP</w:t>
      </w:r>
      <w:r w:rsidR="00035F65">
        <w:rPr>
          <w:lang w:val="en-US"/>
        </w:rPr>
        <w:t xml:space="preserve"> may not be wide enough for MBS reception. I</w:t>
      </w:r>
      <w:r w:rsidR="00035F65" w:rsidRPr="00DA5B2F">
        <w:rPr>
          <w:lang w:val="en-US"/>
        </w:rPr>
        <w:t xml:space="preserve">f the </w:t>
      </w:r>
      <w:r w:rsidR="009043C8">
        <w:rPr>
          <w:lang w:val="en-US"/>
        </w:rPr>
        <w:t xml:space="preserve">CFR is required to be larger than </w:t>
      </w:r>
      <w:r w:rsidR="00035F65" w:rsidRPr="00DA5B2F">
        <w:rPr>
          <w:lang w:val="en-US"/>
        </w:rPr>
        <w:t xml:space="preserve">the initial active BWP where CORESET 0 is configured, the common frequency resource can be configured via </w:t>
      </w:r>
      <w:r w:rsidR="005A4B06">
        <w:rPr>
          <w:lang w:val="en-US"/>
        </w:rPr>
        <w:t xml:space="preserve">MBS specific </w:t>
      </w:r>
      <w:r w:rsidR="00035F65" w:rsidRPr="00DA5B2F">
        <w:rPr>
          <w:lang w:val="en-US"/>
        </w:rPr>
        <w:t>SIB</w:t>
      </w:r>
      <w:r w:rsidR="00035F65">
        <w:rPr>
          <w:lang w:val="en-US"/>
        </w:rPr>
        <w:t xml:space="preserve"> </w:t>
      </w:r>
      <w:r w:rsidR="005A4B06">
        <w:rPr>
          <w:lang w:val="en-US"/>
        </w:rPr>
        <w:t xml:space="preserve">signaling </w:t>
      </w:r>
      <w:r w:rsidR="00035F65">
        <w:rPr>
          <w:lang w:val="en-US"/>
        </w:rPr>
        <w:t>where the IDLE/INACTIVE mode UE can receive the multicast transmission</w:t>
      </w:r>
      <w:r w:rsidR="009043C8">
        <w:rPr>
          <w:lang w:val="en-US"/>
        </w:rPr>
        <w:t xml:space="preserve"> via MTCH on this wider CFR region. Therefore, Case E can be supported but only for reception of MTCH i.e., the group common PDSCH</w:t>
      </w:r>
      <w:r w:rsidR="006002B1">
        <w:rPr>
          <w:lang w:val="en-US"/>
        </w:rPr>
        <w:t xml:space="preserve"> carrying the broadcast data. </w:t>
      </w:r>
      <w:r w:rsidR="005A4B06">
        <w:rPr>
          <w:lang w:val="en-US"/>
        </w:rPr>
        <w:t xml:space="preserve">Furthermore, if CFR is wider than initial BWP or CORESET#0, the CFR should fully contain the initial BWP or CORESET#0 such that common control and paging signals can be received. </w:t>
      </w:r>
    </w:p>
    <w:p w14:paraId="7F958160" w14:textId="259137B0" w:rsidR="0034491A" w:rsidRPr="00DA5B2F" w:rsidRDefault="0034491A" w:rsidP="00380677">
      <w:pPr>
        <w:spacing w:after="0"/>
        <w:rPr>
          <w:lang w:val="en-US"/>
        </w:rPr>
      </w:pPr>
    </w:p>
    <w:p w14:paraId="35A60F6F" w14:textId="77777777" w:rsidR="00B25304" w:rsidRDefault="0034491A" w:rsidP="00380677">
      <w:pPr>
        <w:spacing w:after="0"/>
        <w:rPr>
          <w:b/>
          <w:bCs/>
          <w:i/>
          <w:iCs/>
          <w:lang w:val="en-US"/>
        </w:rPr>
      </w:pPr>
      <w:r w:rsidRPr="00DA5B2F">
        <w:rPr>
          <w:b/>
          <w:bCs/>
          <w:i/>
          <w:iCs/>
          <w:lang w:val="en-US"/>
        </w:rPr>
        <w:t>Proposal</w:t>
      </w:r>
      <w:r w:rsidR="0036054E">
        <w:rPr>
          <w:b/>
          <w:bCs/>
          <w:i/>
          <w:iCs/>
          <w:lang w:val="en-US"/>
        </w:rPr>
        <w:t xml:space="preserve"> </w:t>
      </w:r>
      <w:r w:rsidR="006002B1">
        <w:rPr>
          <w:b/>
          <w:bCs/>
          <w:i/>
          <w:iCs/>
          <w:lang w:val="en-US"/>
        </w:rPr>
        <w:t>1</w:t>
      </w:r>
      <w:r w:rsidRPr="005C01C0">
        <w:rPr>
          <w:b/>
          <w:bCs/>
          <w:i/>
          <w:iCs/>
          <w:lang w:val="en-US"/>
        </w:rPr>
        <w:t>:</w:t>
      </w:r>
      <w:r w:rsidR="006002B1">
        <w:rPr>
          <w:b/>
          <w:bCs/>
          <w:i/>
          <w:iCs/>
          <w:lang w:val="en-US"/>
        </w:rPr>
        <w:t xml:space="preserve"> </w:t>
      </w:r>
    </w:p>
    <w:p w14:paraId="4C8E987F" w14:textId="77777777" w:rsidR="00B25304" w:rsidRPr="00B25304" w:rsidRDefault="006002B1" w:rsidP="00B25304">
      <w:pPr>
        <w:pStyle w:val="ListParagraph"/>
        <w:numPr>
          <w:ilvl w:val="0"/>
          <w:numId w:val="23"/>
        </w:numPr>
      </w:pPr>
      <w:r w:rsidRPr="00B25304">
        <w:rPr>
          <w:b/>
          <w:bCs/>
        </w:rPr>
        <w:t>For CFR configuration only Case A and C can be supported</w:t>
      </w:r>
      <w:r w:rsidR="00AB5454" w:rsidRPr="00B25304">
        <w:rPr>
          <w:b/>
          <w:bCs/>
        </w:rPr>
        <w:t xml:space="preserve"> for both configuration and data reception. </w:t>
      </w:r>
    </w:p>
    <w:p w14:paraId="0CA454EA" w14:textId="77777777" w:rsidR="00B25304" w:rsidRPr="00B25304" w:rsidRDefault="00AB5454" w:rsidP="00B25304">
      <w:pPr>
        <w:pStyle w:val="ListParagraph"/>
        <w:numPr>
          <w:ilvl w:val="0"/>
          <w:numId w:val="23"/>
        </w:numPr>
      </w:pPr>
      <w:r w:rsidRPr="00B25304">
        <w:rPr>
          <w:b/>
          <w:bCs/>
        </w:rPr>
        <w:t>Case E can be supported only for data reception but not for configuration reception via MCCH</w:t>
      </w:r>
      <w:r w:rsidR="00B25304">
        <w:rPr>
          <w:b/>
          <w:bCs/>
        </w:rPr>
        <w:t xml:space="preserve"> if BWP switch is assumed to be required for Case E</w:t>
      </w:r>
    </w:p>
    <w:p w14:paraId="3D238A98" w14:textId="7F89DE5A" w:rsidR="00CD141F" w:rsidRPr="00B25304" w:rsidRDefault="00B25304" w:rsidP="00B25304">
      <w:pPr>
        <w:pStyle w:val="ListParagraph"/>
        <w:numPr>
          <w:ilvl w:val="0"/>
          <w:numId w:val="23"/>
        </w:numPr>
      </w:pPr>
      <w:r>
        <w:rPr>
          <w:b/>
          <w:bCs/>
        </w:rPr>
        <w:t xml:space="preserve">If CFR is wider than initial BWP, </w:t>
      </w:r>
      <w:r w:rsidR="005A4B06">
        <w:rPr>
          <w:b/>
          <w:bCs/>
        </w:rPr>
        <w:t>CFR should fully contain the initial BWP or CORESET#0 such that common control and paging signals can be received</w:t>
      </w:r>
    </w:p>
    <w:p w14:paraId="751AF47A" w14:textId="7AAB9635" w:rsidR="00791E5B" w:rsidRDefault="00791E5B" w:rsidP="00380677">
      <w:pPr>
        <w:spacing w:after="0"/>
        <w:rPr>
          <w:lang w:val="en-US"/>
        </w:rPr>
      </w:pPr>
    </w:p>
    <w:p w14:paraId="7EF73CF0" w14:textId="77777777" w:rsidR="00791E5B" w:rsidRPr="00DA5B2F" w:rsidRDefault="00791E5B" w:rsidP="00380677">
      <w:pPr>
        <w:spacing w:after="0"/>
        <w:rPr>
          <w:lang w:val="en-US"/>
        </w:rPr>
      </w:pPr>
    </w:p>
    <w:p w14:paraId="48444BE9" w14:textId="303B028E" w:rsidR="0015439E" w:rsidRDefault="00C8546F" w:rsidP="0015439E">
      <w:pPr>
        <w:pStyle w:val="bullet1"/>
        <w:numPr>
          <w:ilvl w:val="0"/>
          <w:numId w:val="0"/>
        </w:numPr>
        <w:rPr>
          <w:sz w:val="20"/>
          <w:szCs w:val="22"/>
          <w:lang w:val="en-US"/>
        </w:rPr>
      </w:pPr>
      <w:r w:rsidRPr="00DA5B2F">
        <w:rPr>
          <w:sz w:val="20"/>
          <w:szCs w:val="22"/>
          <w:lang w:val="en-US"/>
        </w:rPr>
        <w:t xml:space="preserve">UEs in RRC IDLE/INACTIVE mode can be configured to monitor </w:t>
      </w:r>
      <w:r w:rsidR="00A40EC9" w:rsidRPr="00DA5B2F">
        <w:rPr>
          <w:sz w:val="20"/>
          <w:szCs w:val="22"/>
          <w:lang w:val="en-US"/>
        </w:rPr>
        <w:t xml:space="preserve">for DCI format 1_0 which can be used to schedule MBS PDSCH. </w:t>
      </w:r>
    </w:p>
    <w:p w14:paraId="62DDBC54" w14:textId="6F8ECBF0" w:rsidR="007A3407" w:rsidRDefault="007A3407" w:rsidP="0015439E">
      <w:pPr>
        <w:pStyle w:val="bullet1"/>
        <w:numPr>
          <w:ilvl w:val="0"/>
          <w:numId w:val="0"/>
        </w:numPr>
        <w:rPr>
          <w:sz w:val="20"/>
          <w:szCs w:val="22"/>
          <w:lang w:val="en-US"/>
        </w:rPr>
      </w:pPr>
    </w:p>
    <w:p w14:paraId="66225194" w14:textId="14B5D046" w:rsidR="00B07BC1" w:rsidRDefault="007A3407" w:rsidP="00B07BC1">
      <w:pPr>
        <w:pStyle w:val="bullet1"/>
        <w:numPr>
          <w:ilvl w:val="0"/>
          <w:numId w:val="0"/>
        </w:numPr>
        <w:rPr>
          <w:b/>
          <w:bCs/>
          <w:i/>
          <w:iCs/>
          <w:sz w:val="20"/>
          <w:szCs w:val="22"/>
          <w:lang w:val="en-US"/>
        </w:rPr>
      </w:pPr>
      <w:r w:rsidRPr="007A3407">
        <w:rPr>
          <w:b/>
          <w:bCs/>
          <w:i/>
          <w:iCs/>
          <w:sz w:val="20"/>
          <w:szCs w:val="22"/>
          <w:lang w:val="en-US"/>
        </w:rPr>
        <w:t>Proposal</w:t>
      </w:r>
      <w:r w:rsidR="0036054E">
        <w:rPr>
          <w:b/>
          <w:bCs/>
          <w:i/>
          <w:iCs/>
          <w:sz w:val="20"/>
          <w:szCs w:val="22"/>
          <w:lang w:val="en-US"/>
        </w:rPr>
        <w:t xml:space="preserve"> </w:t>
      </w:r>
      <w:r w:rsidR="007C3655">
        <w:rPr>
          <w:b/>
          <w:bCs/>
          <w:i/>
          <w:iCs/>
          <w:sz w:val="20"/>
          <w:szCs w:val="22"/>
          <w:lang w:val="en-US"/>
        </w:rPr>
        <w:t>2</w:t>
      </w:r>
      <w:r w:rsidRPr="007A3407">
        <w:rPr>
          <w:b/>
          <w:bCs/>
          <w:i/>
          <w:iCs/>
          <w:sz w:val="20"/>
          <w:szCs w:val="22"/>
          <w:lang w:val="en-US"/>
        </w:rPr>
        <w:t>: DCI format 1_0 is used for scheduling group common PDSCH for RRC_IDLE/INACTIVE UE</w:t>
      </w:r>
    </w:p>
    <w:p w14:paraId="09171188" w14:textId="55084FF8" w:rsidR="00B07BC1" w:rsidRDefault="00B07BC1" w:rsidP="00B07BC1">
      <w:pPr>
        <w:pStyle w:val="bullet1"/>
        <w:numPr>
          <w:ilvl w:val="0"/>
          <w:numId w:val="0"/>
        </w:numPr>
        <w:rPr>
          <w:sz w:val="20"/>
          <w:szCs w:val="22"/>
          <w:lang w:val="en-US"/>
        </w:rPr>
      </w:pPr>
    </w:p>
    <w:p w14:paraId="3AF0B476" w14:textId="13547E00" w:rsidR="00B07BC1" w:rsidRDefault="000C5C63" w:rsidP="00B07BC1">
      <w:pPr>
        <w:pStyle w:val="bullet1"/>
        <w:numPr>
          <w:ilvl w:val="0"/>
          <w:numId w:val="0"/>
        </w:numPr>
        <w:rPr>
          <w:sz w:val="20"/>
          <w:szCs w:val="22"/>
          <w:lang w:val="en-US"/>
        </w:rPr>
      </w:pPr>
      <w:r>
        <w:rPr>
          <w:sz w:val="20"/>
          <w:szCs w:val="22"/>
          <w:lang w:val="en-US"/>
        </w:rPr>
        <w:t>T</w:t>
      </w:r>
      <w:r w:rsidR="00B07BC1">
        <w:rPr>
          <w:sz w:val="20"/>
          <w:szCs w:val="22"/>
          <w:lang w:val="en-US"/>
        </w:rPr>
        <w:t xml:space="preserve">he use case for configuring multiple </w:t>
      </w:r>
      <w:r>
        <w:rPr>
          <w:sz w:val="20"/>
          <w:szCs w:val="22"/>
          <w:lang w:val="en-US"/>
        </w:rPr>
        <w:t xml:space="preserve">MBS frequency resources for RRC_IDLE UEs which can </w:t>
      </w:r>
      <w:r w:rsidR="009B6615">
        <w:rPr>
          <w:sz w:val="20"/>
          <w:szCs w:val="22"/>
          <w:lang w:val="en-US"/>
        </w:rPr>
        <w:t xml:space="preserve">only receive broadcast type transmissions in low QoS mode is not clear and hence </w:t>
      </w:r>
      <w:r w:rsidR="00CF74E3">
        <w:rPr>
          <w:sz w:val="20"/>
          <w:szCs w:val="22"/>
          <w:lang w:val="en-US"/>
        </w:rPr>
        <w:t>should be not supported.</w:t>
      </w:r>
    </w:p>
    <w:p w14:paraId="2B7281DF" w14:textId="62ED0081" w:rsidR="00CF74E3" w:rsidRDefault="00CF74E3" w:rsidP="00B07BC1">
      <w:pPr>
        <w:pStyle w:val="bullet1"/>
        <w:numPr>
          <w:ilvl w:val="0"/>
          <w:numId w:val="0"/>
        </w:numPr>
        <w:rPr>
          <w:sz w:val="20"/>
          <w:szCs w:val="22"/>
          <w:lang w:val="en-US"/>
        </w:rPr>
      </w:pPr>
    </w:p>
    <w:p w14:paraId="3939536B" w14:textId="1434119E" w:rsidR="00CF74E3" w:rsidRDefault="00CF74E3" w:rsidP="00B07BC1">
      <w:pPr>
        <w:pStyle w:val="bullet1"/>
        <w:numPr>
          <w:ilvl w:val="0"/>
          <w:numId w:val="0"/>
        </w:numPr>
        <w:rPr>
          <w:b/>
          <w:bCs/>
          <w:i/>
          <w:iCs/>
          <w:sz w:val="20"/>
          <w:szCs w:val="22"/>
          <w:lang w:val="en-US"/>
        </w:rPr>
      </w:pPr>
      <w:r w:rsidRPr="00B846FF">
        <w:rPr>
          <w:b/>
          <w:bCs/>
          <w:i/>
          <w:iCs/>
          <w:sz w:val="20"/>
          <w:szCs w:val="22"/>
          <w:lang w:val="en-US"/>
        </w:rPr>
        <w:t>Proposal</w:t>
      </w:r>
      <w:r w:rsidR="0036054E">
        <w:rPr>
          <w:b/>
          <w:bCs/>
          <w:i/>
          <w:iCs/>
          <w:sz w:val="20"/>
          <w:szCs w:val="22"/>
          <w:lang w:val="en-US"/>
        </w:rPr>
        <w:t xml:space="preserve"> </w:t>
      </w:r>
      <w:r w:rsidR="007C3655">
        <w:rPr>
          <w:b/>
          <w:bCs/>
          <w:i/>
          <w:iCs/>
          <w:sz w:val="20"/>
          <w:szCs w:val="22"/>
          <w:lang w:val="en-US"/>
        </w:rPr>
        <w:t>3</w:t>
      </w:r>
      <w:r w:rsidRPr="00B846FF">
        <w:rPr>
          <w:b/>
          <w:bCs/>
          <w:i/>
          <w:iCs/>
          <w:sz w:val="20"/>
          <w:szCs w:val="22"/>
          <w:lang w:val="en-US"/>
        </w:rPr>
        <w:t>: Only one common frequency resource may be configured for MBS reception for RRC_IDLE/INACTIVE mode UEs</w:t>
      </w:r>
    </w:p>
    <w:p w14:paraId="1A5680F7" w14:textId="314B7D19" w:rsidR="00B846FF" w:rsidRDefault="00B846FF" w:rsidP="00B07BC1">
      <w:pPr>
        <w:pStyle w:val="bullet1"/>
        <w:numPr>
          <w:ilvl w:val="0"/>
          <w:numId w:val="0"/>
        </w:numPr>
        <w:rPr>
          <w:b/>
          <w:bCs/>
          <w:i/>
          <w:iCs/>
          <w:sz w:val="20"/>
          <w:szCs w:val="22"/>
          <w:lang w:val="en-US"/>
        </w:rPr>
      </w:pPr>
    </w:p>
    <w:p w14:paraId="380B0418" w14:textId="187527A7" w:rsidR="0003347F" w:rsidRDefault="0003347F" w:rsidP="00B07BC1">
      <w:pPr>
        <w:pStyle w:val="bullet1"/>
        <w:numPr>
          <w:ilvl w:val="0"/>
          <w:numId w:val="0"/>
        </w:numPr>
        <w:rPr>
          <w:sz w:val="20"/>
          <w:szCs w:val="22"/>
          <w:lang w:val="en-US"/>
        </w:rPr>
      </w:pPr>
      <w:r>
        <w:rPr>
          <w:sz w:val="20"/>
          <w:szCs w:val="22"/>
          <w:lang w:val="en-US"/>
        </w:rPr>
        <w:t xml:space="preserve">For the broadcast reception of delivery mode 2, it was agreed that the same </w:t>
      </w:r>
      <w:proofErr w:type="gramStart"/>
      <w:r>
        <w:rPr>
          <w:sz w:val="20"/>
          <w:szCs w:val="22"/>
          <w:lang w:val="en-US"/>
        </w:rPr>
        <w:t>group-common</w:t>
      </w:r>
      <w:proofErr w:type="gramEnd"/>
      <w:r>
        <w:rPr>
          <w:sz w:val="20"/>
          <w:szCs w:val="22"/>
          <w:lang w:val="en-US"/>
        </w:rPr>
        <w:t xml:space="preserve"> PDCCH and corresponding PDSCH may be received by both connected and idle/inactive mode UEs</w:t>
      </w:r>
      <w:r w:rsidR="00DB779F">
        <w:rPr>
          <w:sz w:val="20"/>
          <w:szCs w:val="22"/>
          <w:lang w:val="en-US"/>
        </w:rPr>
        <w:t xml:space="preserve">. While this configuration is one possible mode of operation, always sharing control signaling may be restrictive and it may be allowed that connected UEs may be scheduled the same </w:t>
      </w:r>
      <w:proofErr w:type="gramStart"/>
      <w:r w:rsidR="00DB779F">
        <w:rPr>
          <w:sz w:val="20"/>
          <w:szCs w:val="22"/>
          <w:lang w:val="en-US"/>
        </w:rPr>
        <w:t>group-common</w:t>
      </w:r>
      <w:proofErr w:type="gramEnd"/>
      <w:r w:rsidR="00DB779F">
        <w:rPr>
          <w:sz w:val="20"/>
          <w:szCs w:val="22"/>
          <w:lang w:val="en-US"/>
        </w:rPr>
        <w:t xml:space="preserve"> PDSCH using a different group common PDCCH.</w:t>
      </w:r>
    </w:p>
    <w:p w14:paraId="617EF5C7" w14:textId="5EA7B167" w:rsidR="00DB779F" w:rsidRDefault="00DB779F" w:rsidP="00B07BC1">
      <w:pPr>
        <w:pStyle w:val="bullet1"/>
        <w:numPr>
          <w:ilvl w:val="0"/>
          <w:numId w:val="0"/>
        </w:numPr>
        <w:rPr>
          <w:sz w:val="20"/>
          <w:szCs w:val="22"/>
          <w:lang w:val="en-US"/>
        </w:rPr>
      </w:pPr>
    </w:p>
    <w:p w14:paraId="624D9BA6" w14:textId="58F1491C" w:rsidR="00DB779F" w:rsidRPr="00DB779F" w:rsidRDefault="00DB779F" w:rsidP="00B07BC1">
      <w:pPr>
        <w:pStyle w:val="bullet1"/>
        <w:numPr>
          <w:ilvl w:val="0"/>
          <w:numId w:val="0"/>
        </w:numPr>
        <w:rPr>
          <w:b/>
          <w:bCs/>
          <w:i/>
          <w:iCs/>
          <w:sz w:val="20"/>
          <w:szCs w:val="22"/>
          <w:lang w:val="en-US"/>
        </w:rPr>
      </w:pPr>
      <w:r w:rsidRPr="00DB779F">
        <w:rPr>
          <w:b/>
          <w:bCs/>
          <w:i/>
          <w:iCs/>
          <w:sz w:val="20"/>
          <w:szCs w:val="22"/>
          <w:lang w:val="en-US"/>
        </w:rPr>
        <w:lastRenderedPageBreak/>
        <w:t>Proposal</w:t>
      </w:r>
      <w:r w:rsidR="0036054E">
        <w:rPr>
          <w:b/>
          <w:bCs/>
          <w:i/>
          <w:iCs/>
          <w:sz w:val="20"/>
          <w:szCs w:val="22"/>
          <w:lang w:val="en-US"/>
        </w:rPr>
        <w:t xml:space="preserve"> </w:t>
      </w:r>
      <w:r w:rsidR="007C3655">
        <w:rPr>
          <w:b/>
          <w:bCs/>
          <w:i/>
          <w:iCs/>
          <w:sz w:val="20"/>
          <w:szCs w:val="22"/>
          <w:lang w:val="en-US"/>
        </w:rPr>
        <w:t>4</w:t>
      </w:r>
      <w:r w:rsidRPr="00DB779F">
        <w:rPr>
          <w:b/>
          <w:bCs/>
          <w:i/>
          <w:iCs/>
          <w:sz w:val="20"/>
          <w:szCs w:val="22"/>
          <w:lang w:val="en-US"/>
        </w:rPr>
        <w:t xml:space="preserve">: </w:t>
      </w:r>
      <w:bookmarkStart w:id="0" w:name="_Hlk61896710"/>
      <w:r w:rsidRPr="00DB779F">
        <w:rPr>
          <w:b/>
          <w:bCs/>
          <w:i/>
          <w:iCs/>
          <w:sz w:val="20"/>
          <w:szCs w:val="22"/>
          <w:lang w:val="en-US"/>
        </w:rPr>
        <w:t>Different group-common PDCCH may be used to schedule the same group-common PDSCH for connected and idle/inactive mode UEs respectively</w:t>
      </w:r>
      <w:bookmarkEnd w:id="0"/>
    </w:p>
    <w:p w14:paraId="6BF74D0A" w14:textId="453324E5" w:rsidR="00B846FF" w:rsidRDefault="00B846FF" w:rsidP="00B07BC1">
      <w:pPr>
        <w:pStyle w:val="bullet1"/>
        <w:numPr>
          <w:ilvl w:val="0"/>
          <w:numId w:val="0"/>
        </w:numPr>
        <w:rPr>
          <w:b/>
          <w:bCs/>
          <w:sz w:val="20"/>
          <w:szCs w:val="22"/>
          <w:lang w:val="en-US"/>
        </w:rPr>
      </w:pPr>
    </w:p>
    <w:p w14:paraId="561B3297" w14:textId="767E2B4C" w:rsidR="00151268" w:rsidRDefault="00151268" w:rsidP="00B07BC1">
      <w:pPr>
        <w:pStyle w:val="bullet1"/>
        <w:numPr>
          <w:ilvl w:val="0"/>
          <w:numId w:val="0"/>
        </w:numPr>
        <w:rPr>
          <w:sz w:val="20"/>
          <w:szCs w:val="22"/>
          <w:lang w:val="en-US"/>
        </w:rPr>
      </w:pPr>
      <w:r>
        <w:rPr>
          <w:sz w:val="20"/>
          <w:szCs w:val="22"/>
          <w:lang w:val="en-US"/>
        </w:rPr>
        <w:t>RAN1 should strive to design a common framework for broadcast reception for CONNECTED and IDLE/INACTIVE mode UEs</w:t>
      </w:r>
      <w:r w:rsidR="0028494F">
        <w:rPr>
          <w:sz w:val="20"/>
          <w:szCs w:val="22"/>
          <w:lang w:val="en-US"/>
        </w:rPr>
        <w:t xml:space="preserve">. Therefore, it should be possible that the same </w:t>
      </w:r>
      <w:proofErr w:type="gramStart"/>
      <w:r w:rsidR="0028494F">
        <w:rPr>
          <w:sz w:val="20"/>
          <w:szCs w:val="22"/>
          <w:lang w:val="en-US"/>
        </w:rPr>
        <w:t>group-common</w:t>
      </w:r>
      <w:proofErr w:type="gramEnd"/>
      <w:r w:rsidR="0028494F">
        <w:rPr>
          <w:sz w:val="20"/>
          <w:szCs w:val="22"/>
          <w:lang w:val="en-US"/>
        </w:rPr>
        <w:t xml:space="preserve"> PDCCH and PDSCH are received by the RRC_IDLE/INACTIVE and CONNECTED mode UEs. For this purpose, the CFR for broadcast reception </w:t>
      </w:r>
      <w:r w:rsidR="00B5618C">
        <w:rPr>
          <w:sz w:val="20"/>
          <w:szCs w:val="22"/>
          <w:lang w:val="en-US"/>
        </w:rPr>
        <w:t xml:space="preserve">should be assumed to be also within an active BWP of the CONNECTED mode UEs. </w:t>
      </w:r>
      <w:r w:rsidR="001A4669">
        <w:rPr>
          <w:sz w:val="20"/>
          <w:szCs w:val="22"/>
          <w:lang w:val="en-US"/>
        </w:rPr>
        <w:t xml:space="preserve">To this end, it can be up to the gNB to ensure CFR configuration for CONNECTED mode UEs is compatible with broadcast reception. </w:t>
      </w:r>
      <w:r w:rsidR="007C3655">
        <w:rPr>
          <w:sz w:val="20"/>
          <w:szCs w:val="22"/>
          <w:lang w:val="en-US"/>
        </w:rPr>
        <w:t>Generally, it should be possible to switch the BWP or reconfigure the CFR for CONNECTED mode UEs to match the CFR of IDLE UEs for broadcast reception</w:t>
      </w:r>
    </w:p>
    <w:p w14:paraId="61500881" w14:textId="56632D7B" w:rsidR="007C3655" w:rsidRDefault="007C3655" w:rsidP="00B07BC1">
      <w:pPr>
        <w:pStyle w:val="bullet1"/>
        <w:numPr>
          <w:ilvl w:val="0"/>
          <w:numId w:val="0"/>
        </w:numPr>
        <w:rPr>
          <w:sz w:val="20"/>
          <w:szCs w:val="22"/>
          <w:lang w:val="en-US"/>
        </w:rPr>
      </w:pPr>
    </w:p>
    <w:p w14:paraId="35D4A1C0" w14:textId="562883F4" w:rsidR="007C3655" w:rsidRPr="007C3655" w:rsidRDefault="007C3655" w:rsidP="00B07BC1">
      <w:pPr>
        <w:pStyle w:val="bullet1"/>
        <w:numPr>
          <w:ilvl w:val="0"/>
          <w:numId w:val="0"/>
        </w:numPr>
        <w:rPr>
          <w:b/>
          <w:bCs/>
          <w:i/>
          <w:iCs/>
          <w:sz w:val="20"/>
          <w:szCs w:val="22"/>
          <w:lang w:val="en-US"/>
        </w:rPr>
      </w:pPr>
      <w:r w:rsidRPr="007C3655">
        <w:rPr>
          <w:b/>
          <w:bCs/>
          <w:i/>
          <w:iCs/>
          <w:sz w:val="20"/>
          <w:szCs w:val="22"/>
          <w:lang w:val="en-US"/>
        </w:rPr>
        <w:t>Proposal 5</w:t>
      </w:r>
      <w:r w:rsidR="001E6BC4">
        <w:rPr>
          <w:b/>
          <w:bCs/>
          <w:i/>
          <w:iCs/>
          <w:sz w:val="20"/>
          <w:szCs w:val="22"/>
          <w:lang w:val="en-US"/>
        </w:rPr>
        <w:t xml:space="preserve">: If the CFR for IDLE/INACTIVE UEs is outside the active </w:t>
      </w:r>
      <w:r w:rsidR="000123DD">
        <w:rPr>
          <w:b/>
          <w:bCs/>
          <w:i/>
          <w:iCs/>
          <w:sz w:val="20"/>
          <w:szCs w:val="22"/>
          <w:lang w:val="en-US"/>
        </w:rPr>
        <w:t xml:space="preserve">CFR or active </w:t>
      </w:r>
      <w:r w:rsidR="001E6BC4">
        <w:rPr>
          <w:b/>
          <w:bCs/>
          <w:i/>
          <w:iCs/>
          <w:sz w:val="20"/>
          <w:szCs w:val="22"/>
          <w:lang w:val="en-US"/>
        </w:rPr>
        <w:t>BWP</w:t>
      </w:r>
      <w:r w:rsidR="000123DD">
        <w:rPr>
          <w:b/>
          <w:bCs/>
          <w:i/>
          <w:iCs/>
          <w:sz w:val="20"/>
          <w:szCs w:val="22"/>
          <w:lang w:val="en-US"/>
        </w:rPr>
        <w:t xml:space="preserve"> of CONNECTED mode UEs, it is up to the gNB to reconfigure the CFR or switch BWP of CONNECTED mode UEs to receive broadcast transmission. The IDLE UEs are not expected to switch BWP to align with CONNECTED mode UEs.</w:t>
      </w:r>
    </w:p>
    <w:p w14:paraId="3C11484E" w14:textId="77777777" w:rsidR="00151268" w:rsidRDefault="00151268" w:rsidP="00B07BC1">
      <w:pPr>
        <w:pStyle w:val="bullet1"/>
        <w:numPr>
          <w:ilvl w:val="0"/>
          <w:numId w:val="0"/>
        </w:numPr>
        <w:rPr>
          <w:b/>
          <w:bCs/>
          <w:sz w:val="20"/>
          <w:szCs w:val="22"/>
          <w:lang w:val="en-US"/>
        </w:rPr>
      </w:pPr>
    </w:p>
    <w:p w14:paraId="03F70281" w14:textId="00F8DC26" w:rsidR="00A52209" w:rsidRDefault="00FB672A" w:rsidP="00FB672A">
      <w:pPr>
        <w:pStyle w:val="Heading2"/>
        <w:rPr>
          <w:sz w:val="28"/>
          <w:szCs w:val="18"/>
          <w:lang w:val="en-US"/>
        </w:rPr>
      </w:pPr>
      <w:r w:rsidRPr="00263538">
        <w:rPr>
          <w:sz w:val="28"/>
          <w:szCs w:val="18"/>
          <w:lang w:val="en-US"/>
        </w:rPr>
        <w:t>2.</w:t>
      </w:r>
      <w:r>
        <w:rPr>
          <w:sz w:val="28"/>
          <w:szCs w:val="18"/>
          <w:lang w:val="en-US"/>
        </w:rPr>
        <w:t xml:space="preserve">2. </w:t>
      </w:r>
      <w:r w:rsidR="00475A3D">
        <w:rPr>
          <w:sz w:val="28"/>
          <w:szCs w:val="18"/>
          <w:lang w:val="en-US"/>
        </w:rPr>
        <w:t>Reliability</w:t>
      </w:r>
      <w:r w:rsidR="006548F7">
        <w:rPr>
          <w:sz w:val="28"/>
          <w:szCs w:val="18"/>
          <w:lang w:val="en-US"/>
        </w:rPr>
        <w:t xml:space="preserve"> for IDLE/INACTIVE UEs</w:t>
      </w:r>
    </w:p>
    <w:p w14:paraId="470A84BA" w14:textId="155371CD" w:rsidR="00126EDB" w:rsidRPr="00DA5B2F" w:rsidRDefault="00E13831" w:rsidP="00BA6C30">
      <w:pPr>
        <w:rPr>
          <w:lang w:val="en-US"/>
        </w:rPr>
      </w:pPr>
      <w:r w:rsidRPr="00DA5B2F">
        <w:rPr>
          <w:lang w:val="en-US"/>
        </w:rPr>
        <w:t>HARQ feedback may be supported for RRC_IDLE/INACTIVE UEs</w:t>
      </w:r>
      <w:r w:rsidR="00651A2A" w:rsidRPr="00DA5B2F">
        <w:rPr>
          <w:lang w:val="en-US"/>
        </w:rPr>
        <w:t xml:space="preserve"> with a NACK only feedback mode</w:t>
      </w:r>
      <w:r w:rsidR="002D70B2">
        <w:rPr>
          <w:lang w:val="en-US"/>
        </w:rPr>
        <w:t xml:space="preserve"> </w:t>
      </w:r>
      <w:proofErr w:type="gramStart"/>
      <w:r w:rsidR="002D70B2">
        <w:rPr>
          <w:lang w:val="en-US"/>
        </w:rPr>
        <w:t>similar to</w:t>
      </w:r>
      <w:proofErr w:type="gramEnd"/>
      <w:r w:rsidR="002D70B2">
        <w:rPr>
          <w:lang w:val="en-US"/>
        </w:rPr>
        <w:t xml:space="preserve"> the case of RRC_CONNECTED UEs</w:t>
      </w:r>
      <w:r w:rsidR="00651A2A" w:rsidRPr="00DA5B2F">
        <w:rPr>
          <w:lang w:val="en-US"/>
        </w:rPr>
        <w:t xml:space="preserve">. The PUCCH resource for the </w:t>
      </w:r>
      <w:r w:rsidR="00B61739" w:rsidRPr="00DA5B2F">
        <w:rPr>
          <w:lang w:val="en-US"/>
        </w:rPr>
        <w:t xml:space="preserve">NACK transmission can be a </w:t>
      </w:r>
      <w:proofErr w:type="gramStart"/>
      <w:r w:rsidR="00B61739" w:rsidRPr="00DA5B2F">
        <w:rPr>
          <w:lang w:val="en-US"/>
        </w:rPr>
        <w:t>cell-specific</w:t>
      </w:r>
      <w:proofErr w:type="gramEnd"/>
      <w:r w:rsidR="00B61739" w:rsidRPr="00DA5B2F">
        <w:rPr>
          <w:lang w:val="en-US"/>
        </w:rPr>
        <w:t xml:space="preserve"> PUCCH resource</w:t>
      </w:r>
      <w:r w:rsidR="00D34277" w:rsidRPr="00DA5B2F">
        <w:rPr>
          <w:lang w:val="en-US"/>
        </w:rPr>
        <w:t xml:space="preserve">. In NR, </w:t>
      </w:r>
      <w:r w:rsidR="00BA6C30" w:rsidRPr="00DA5B2F">
        <w:rPr>
          <w:lang w:val="en-US"/>
        </w:rPr>
        <w:t>a cell-specific PUCCH resource set (256 resources) is predefined, wherein 4-bit (</w:t>
      </w:r>
      <w:proofErr w:type="spellStart"/>
      <w:r w:rsidR="00BA6C30" w:rsidRPr="00DA5B2F">
        <w:rPr>
          <w:i/>
          <w:iCs/>
          <w:lang w:val="en-US"/>
        </w:rPr>
        <w:t>pucch-ResourceCommon</w:t>
      </w:r>
      <w:proofErr w:type="spellEnd"/>
      <w:r w:rsidR="00BA6C30" w:rsidRPr="00DA5B2F">
        <w:rPr>
          <w:lang w:val="en-US"/>
        </w:rPr>
        <w:t>) in RMSI indicates 16</w:t>
      </w:r>
      <w:r w:rsidR="000763F1" w:rsidRPr="00DA5B2F">
        <w:rPr>
          <w:lang w:val="en-US"/>
        </w:rPr>
        <w:t xml:space="preserve"> </w:t>
      </w:r>
      <w:r w:rsidR="00BA6C30" w:rsidRPr="00DA5B2F">
        <w:rPr>
          <w:lang w:val="en-US"/>
        </w:rPr>
        <w:t>cell</w:t>
      </w:r>
      <w:r w:rsidR="000763F1" w:rsidRPr="00DA5B2F">
        <w:rPr>
          <w:lang w:val="en-US"/>
        </w:rPr>
        <w:t>-</w:t>
      </w:r>
      <w:r w:rsidR="00BA6C30" w:rsidRPr="00DA5B2F">
        <w:rPr>
          <w:lang w:val="en-US"/>
        </w:rPr>
        <w:t xml:space="preserve">specific PUCCH resources. PUCCH resource indicator (PRI) in DCI and starting CCE of corresponding PDCCH are used to determine a PUCCH resource from the 16 resources for carrying 1-bit HARQ-ACK feedback during initial access. </w:t>
      </w:r>
      <w:r w:rsidR="00126EDB" w:rsidRPr="00DA5B2F">
        <w:rPr>
          <w:lang w:val="en-US"/>
        </w:rPr>
        <w:t xml:space="preserve">This mechanism can be re-used where the UEs can transmit NACK only in the selected PUCCH resource. Since the PRI field will be indicated to all UEs in the group, the PUCCH resource will be a common PUCCH resource </w:t>
      </w:r>
      <w:r w:rsidR="00AB1A96" w:rsidRPr="00DA5B2F">
        <w:rPr>
          <w:lang w:val="en-US"/>
        </w:rPr>
        <w:t>and the NACK only transmission will be made in an SFN manner wherein the gNB can perform energy detection to detect a NACK.</w:t>
      </w:r>
    </w:p>
    <w:p w14:paraId="7D581AF5" w14:textId="79C61DEF" w:rsidR="00AB1A96" w:rsidRPr="00DD5152" w:rsidRDefault="005C49A6" w:rsidP="00BA6C30">
      <w:pPr>
        <w:rPr>
          <w:b/>
          <w:bCs/>
          <w:i/>
          <w:iCs/>
          <w:lang w:val="en-US"/>
        </w:rPr>
      </w:pPr>
      <w:r w:rsidRPr="00DD5152">
        <w:rPr>
          <w:b/>
          <w:bCs/>
          <w:i/>
          <w:iCs/>
          <w:lang w:val="en-US"/>
        </w:rPr>
        <w:t>Proposal</w:t>
      </w:r>
      <w:r w:rsidR="0036054E">
        <w:rPr>
          <w:b/>
          <w:bCs/>
          <w:i/>
          <w:iCs/>
          <w:lang w:val="en-US"/>
        </w:rPr>
        <w:t xml:space="preserve"> 6</w:t>
      </w:r>
      <w:r w:rsidRPr="00DD5152">
        <w:rPr>
          <w:b/>
          <w:bCs/>
          <w:i/>
          <w:iCs/>
          <w:lang w:val="en-US"/>
        </w:rPr>
        <w:t xml:space="preserve">: RRC_INACTIVE/IDLE UEs can support HARQ feedback with NACK-only transmission on a common PUCCH resource </w:t>
      </w:r>
      <w:r w:rsidR="00EE3630" w:rsidRPr="00DD5152">
        <w:rPr>
          <w:b/>
          <w:bCs/>
          <w:i/>
          <w:iCs/>
          <w:lang w:val="en-US"/>
        </w:rPr>
        <w:t xml:space="preserve">configured by 4-bit RMSI indication and selected using the PRI in DCI and the starting CCE index of the PDCCH reception. </w:t>
      </w:r>
    </w:p>
    <w:p w14:paraId="55134D6F" w14:textId="59779A45" w:rsidR="00EE3630" w:rsidRPr="00DA5B2F" w:rsidRDefault="00EE3630" w:rsidP="00BA6C30">
      <w:pPr>
        <w:rPr>
          <w:lang w:val="en-US"/>
        </w:rPr>
      </w:pPr>
      <w:r w:rsidRPr="00DA5B2F">
        <w:rPr>
          <w:lang w:val="en-US"/>
        </w:rPr>
        <w:t xml:space="preserve">In some cases, the UEs can alternately also retain HARQ configuration from previous connected mode provided they are still camped on the same cell. </w:t>
      </w:r>
    </w:p>
    <w:p w14:paraId="5C662B72" w14:textId="6D286CD5" w:rsidR="00EE3630" w:rsidRPr="00DA5B2F" w:rsidRDefault="00EE3630" w:rsidP="00BA6C30">
      <w:pPr>
        <w:rPr>
          <w:lang w:val="en-US"/>
        </w:rPr>
      </w:pPr>
      <w:r w:rsidRPr="00DA5B2F">
        <w:rPr>
          <w:lang w:val="en-US"/>
        </w:rPr>
        <w:t xml:space="preserve">It is advantageous for the gNB to be able to configure HARQ feedback on and off especially if broadcast mode transmission is envisioned for certain MBS services. </w:t>
      </w:r>
    </w:p>
    <w:p w14:paraId="02370D41" w14:textId="13225D6D" w:rsidR="00EE3630" w:rsidRDefault="00EE3630" w:rsidP="00BA6C30">
      <w:pPr>
        <w:rPr>
          <w:b/>
          <w:bCs/>
          <w:i/>
          <w:iCs/>
          <w:lang w:val="en-US"/>
        </w:rPr>
      </w:pPr>
      <w:r w:rsidRPr="00DD5152">
        <w:rPr>
          <w:b/>
          <w:bCs/>
          <w:i/>
          <w:iCs/>
          <w:lang w:val="en-US"/>
        </w:rPr>
        <w:t>Proposal</w:t>
      </w:r>
      <w:r w:rsidR="0036054E">
        <w:rPr>
          <w:b/>
          <w:bCs/>
          <w:i/>
          <w:iCs/>
          <w:lang w:val="en-US"/>
        </w:rPr>
        <w:t xml:space="preserve"> 7</w:t>
      </w:r>
      <w:r w:rsidRPr="00DD5152">
        <w:rPr>
          <w:b/>
          <w:bCs/>
          <w:i/>
          <w:iCs/>
          <w:lang w:val="en-US"/>
        </w:rPr>
        <w:t>: For RRC_IDLE/INACTIVE UEs, HARQ can be configured on/off by RMSI</w:t>
      </w:r>
    </w:p>
    <w:p w14:paraId="2866E329" w14:textId="5A9C47F9" w:rsidR="006A7804" w:rsidRDefault="006A7804" w:rsidP="00BA6C30">
      <w:pPr>
        <w:rPr>
          <w:lang w:val="en-US"/>
        </w:rPr>
      </w:pPr>
      <w:r>
        <w:rPr>
          <w:lang w:val="en-US"/>
        </w:rPr>
        <w:t xml:space="preserve">Additionally, slot-level repetition </w:t>
      </w:r>
      <w:proofErr w:type="gramStart"/>
      <w:r>
        <w:rPr>
          <w:lang w:val="en-US"/>
        </w:rPr>
        <w:t>similar to</w:t>
      </w:r>
      <w:proofErr w:type="gramEnd"/>
      <w:r>
        <w:rPr>
          <w:lang w:val="en-US"/>
        </w:rPr>
        <w:t xml:space="preserve"> the case for RRC_CONNECTED UEs can be supported. The </w:t>
      </w:r>
      <w:r w:rsidR="00F744A4">
        <w:rPr>
          <w:lang w:val="en-US"/>
        </w:rPr>
        <w:t>repetition is configured as part of the TDRA table</w:t>
      </w:r>
      <w:r w:rsidR="0024407E">
        <w:rPr>
          <w:lang w:val="en-US"/>
        </w:rPr>
        <w:t xml:space="preserve"> configured to idle/inactive mode UEs via SIB signaling. </w:t>
      </w:r>
      <w:r w:rsidR="0060316D">
        <w:rPr>
          <w:lang w:val="en-US"/>
        </w:rPr>
        <w:t>The repetition can then be dynamically indicated by the group common PDCCH.</w:t>
      </w:r>
    </w:p>
    <w:p w14:paraId="38821225" w14:textId="3C4427F3" w:rsidR="0060316D" w:rsidRPr="00B20CB6" w:rsidRDefault="0060316D" w:rsidP="00BA6C30">
      <w:pPr>
        <w:rPr>
          <w:b/>
          <w:bCs/>
          <w:i/>
          <w:iCs/>
          <w:lang w:val="en-US"/>
        </w:rPr>
      </w:pPr>
      <w:r w:rsidRPr="00B20CB6">
        <w:rPr>
          <w:b/>
          <w:bCs/>
          <w:i/>
          <w:iCs/>
          <w:lang w:val="en-US"/>
        </w:rPr>
        <w:t xml:space="preserve">Proposal 8: </w:t>
      </w:r>
      <w:r w:rsidR="00B20CB6" w:rsidRPr="00B20CB6">
        <w:rPr>
          <w:b/>
          <w:bCs/>
          <w:i/>
          <w:iCs/>
          <w:lang w:val="en-US"/>
        </w:rPr>
        <w:t>Slot level repetition can be supported for RRC_IDLE UEs with the repetition configured as part of the TDRA table via SIB and indicated dynamically through DCI</w:t>
      </w:r>
    </w:p>
    <w:p w14:paraId="363E7F71" w14:textId="7992B6C6" w:rsidR="00133192" w:rsidRDefault="00133192" w:rsidP="00126EDB">
      <w:pPr>
        <w:pStyle w:val="Heading1"/>
        <w:numPr>
          <w:ilvl w:val="0"/>
          <w:numId w:val="1"/>
        </w:numPr>
        <w:pBdr>
          <w:top w:val="single" w:sz="12" w:space="4" w:color="auto"/>
        </w:pBdr>
        <w:rPr>
          <w:rFonts w:cs="Arial"/>
          <w:sz w:val="32"/>
          <w:szCs w:val="18"/>
          <w:lang w:val="en-US"/>
        </w:rPr>
      </w:pPr>
      <w:r>
        <w:rPr>
          <w:rFonts w:cs="Arial"/>
          <w:sz w:val="32"/>
          <w:szCs w:val="18"/>
          <w:lang w:val="en-US"/>
        </w:rPr>
        <w:t>Conclusions</w:t>
      </w:r>
    </w:p>
    <w:p w14:paraId="3B595E76" w14:textId="74DE3EBF" w:rsidR="00133192" w:rsidRDefault="00133192" w:rsidP="00380677">
      <w:pPr>
        <w:rPr>
          <w:lang w:val="en-US"/>
        </w:rPr>
      </w:pPr>
      <w:r w:rsidRPr="00270B30">
        <w:rPr>
          <w:lang w:val="en-US"/>
        </w:rPr>
        <w:t xml:space="preserve">In this paper, </w:t>
      </w:r>
      <w:r w:rsidR="00817E2D" w:rsidRPr="00270B30">
        <w:rPr>
          <w:lang w:val="en-US"/>
        </w:rPr>
        <w:t>design options and related evaluation</w:t>
      </w:r>
      <w:r w:rsidR="009C61B1" w:rsidRPr="00270B30">
        <w:rPr>
          <w:lang w:val="en-US"/>
        </w:rPr>
        <w:t>s were proposed for NR MBS</w:t>
      </w:r>
      <w:r w:rsidR="00C3074A" w:rsidRPr="00270B30">
        <w:rPr>
          <w:lang w:val="en-US"/>
        </w:rPr>
        <w:t xml:space="preserve"> for RRC_IDLE/INACTIVE UEs</w:t>
      </w:r>
      <w:r w:rsidR="009C61B1" w:rsidRPr="00270B30">
        <w:rPr>
          <w:lang w:val="en-US"/>
        </w:rPr>
        <w:t>. To this end, the following proposals were made:</w:t>
      </w:r>
    </w:p>
    <w:p w14:paraId="3E210F30" w14:textId="77777777" w:rsidR="004F3EBD" w:rsidRPr="00B25304" w:rsidRDefault="004F3EBD" w:rsidP="004F3EBD">
      <w:pPr>
        <w:pStyle w:val="ListParagraph"/>
        <w:numPr>
          <w:ilvl w:val="0"/>
          <w:numId w:val="23"/>
        </w:numPr>
      </w:pPr>
      <w:r w:rsidRPr="00B25304">
        <w:rPr>
          <w:b/>
          <w:bCs/>
        </w:rPr>
        <w:t xml:space="preserve">For CFR configuration only Case A and C can be supported for both configuration and data reception. </w:t>
      </w:r>
    </w:p>
    <w:p w14:paraId="15507AE8" w14:textId="77777777" w:rsidR="004F3EBD" w:rsidRPr="00B25304" w:rsidRDefault="004F3EBD" w:rsidP="004F3EBD">
      <w:pPr>
        <w:pStyle w:val="ListParagraph"/>
        <w:numPr>
          <w:ilvl w:val="0"/>
          <w:numId w:val="23"/>
        </w:numPr>
      </w:pPr>
      <w:r w:rsidRPr="00B25304">
        <w:rPr>
          <w:b/>
          <w:bCs/>
        </w:rPr>
        <w:t>Case E can be supported only for data reception but not for configuration reception via MCCH</w:t>
      </w:r>
      <w:r>
        <w:rPr>
          <w:b/>
          <w:bCs/>
        </w:rPr>
        <w:t xml:space="preserve"> if BWP switch is assumed to be required for Case E</w:t>
      </w:r>
    </w:p>
    <w:p w14:paraId="4B87E149" w14:textId="36DA808A" w:rsidR="004F3EBD" w:rsidRPr="004F3EBD" w:rsidRDefault="004F3EBD" w:rsidP="004F3EBD">
      <w:pPr>
        <w:pStyle w:val="ListParagraph"/>
        <w:numPr>
          <w:ilvl w:val="0"/>
          <w:numId w:val="23"/>
        </w:numPr>
      </w:pPr>
      <w:r>
        <w:rPr>
          <w:b/>
          <w:bCs/>
        </w:rPr>
        <w:t>If CFR is wider than initial BWP, CFR should fully contain the initial BWP or CORESET#0 such that common control and paging signals can be received</w:t>
      </w:r>
    </w:p>
    <w:p w14:paraId="338C05F9" w14:textId="77777777" w:rsidR="004F3EBD" w:rsidRDefault="004F3EBD" w:rsidP="004F3EBD">
      <w:pPr>
        <w:pStyle w:val="bullet1"/>
        <w:numPr>
          <w:ilvl w:val="0"/>
          <w:numId w:val="23"/>
        </w:numPr>
        <w:rPr>
          <w:b/>
          <w:bCs/>
          <w:i/>
          <w:iCs/>
          <w:sz w:val="20"/>
          <w:szCs w:val="22"/>
          <w:lang w:val="en-US"/>
        </w:rPr>
      </w:pPr>
      <w:r w:rsidRPr="007A3407">
        <w:rPr>
          <w:b/>
          <w:bCs/>
          <w:i/>
          <w:iCs/>
          <w:sz w:val="20"/>
          <w:szCs w:val="22"/>
          <w:lang w:val="en-US"/>
        </w:rPr>
        <w:t>DCI format 1_0 is used for scheduling group common PDSCH for RRC_IDLE/INACTIVE UE</w:t>
      </w:r>
    </w:p>
    <w:p w14:paraId="7378B667" w14:textId="77777777" w:rsidR="004F3EBD" w:rsidRDefault="004F3EBD" w:rsidP="004F3EBD">
      <w:pPr>
        <w:pStyle w:val="bullet1"/>
        <w:numPr>
          <w:ilvl w:val="0"/>
          <w:numId w:val="23"/>
        </w:numPr>
        <w:rPr>
          <w:b/>
          <w:bCs/>
          <w:i/>
          <w:iCs/>
          <w:sz w:val="20"/>
          <w:szCs w:val="22"/>
          <w:lang w:val="en-US"/>
        </w:rPr>
      </w:pPr>
      <w:r w:rsidRPr="00B846FF">
        <w:rPr>
          <w:b/>
          <w:bCs/>
          <w:i/>
          <w:iCs/>
          <w:sz w:val="20"/>
          <w:szCs w:val="22"/>
          <w:lang w:val="en-US"/>
        </w:rPr>
        <w:lastRenderedPageBreak/>
        <w:t>Only one common frequency resource may be configured for MBS reception for RRC_IDLE/INACTIVE mode UEs</w:t>
      </w:r>
    </w:p>
    <w:p w14:paraId="6810B177" w14:textId="77777777" w:rsidR="00E061A7" w:rsidRPr="00DB779F" w:rsidRDefault="00E061A7" w:rsidP="00E061A7">
      <w:pPr>
        <w:pStyle w:val="bullet1"/>
        <w:numPr>
          <w:ilvl w:val="0"/>
          <w:numId w:val="23"/>
        </w:numPr>
        <w:rPr>
          <w:b/>
          <w:bCs/>
          <w:i/>
          <w:iCs/>
          <w:sz w:val="20"/>
          <w:szCs w:val="22"/>
          <w:lang w:val="en-US"/>
        </w:rPr>
      </w:pPr>
      <w:r w:rsidRPr="00DB779F">
        <w:rPr>
          <w:b/>
          <w:bCs/>
          <w:i/>
          <w:iCs/>
          <w:sz w:val="20"/>
          <w:szCs w:val="22"/>
          <w:lang w:val="en-US"/>
        </w:rPr>
        <w:t>Different group-common PDCCH may be used to schedule the same group-common PDSCH for connected and idle/inactive mode UEs respectively</w:t>
      </w:r>
    </w:p>
    <w:p w14:paraId="1DCDE079" w14:textId="1B7DFEA0" w:rsidR="004F3EBD" w:rsidRDefault="00E061A7" w:rsidP="004F3EBD">
      <w:pPr>
        <w:pStyle w:val="bullet1"/>
        <w:numPr>
          <w:ilvl w:val="0"/>
          <w:numId w:val="23"/>
        </w:numPr>
        <w:rPr>
          <w:sz w:val="20"/>
          <w:szCs w:val="22"/>
          <w:lang w:val="en-US"/>
        </w:rPr>
      </w:pPr>
      <w:r>
        <w:rPr>
          <w:b/>
          <w:bCs/>
          <w:i/>
          <w:iCs/>
          <w:sz w:val="20"/>
          <w:szCs w:val="22"/>
          <w:lang w:val="en-US"/>
        </w:rPr>
        <w:t>If the CFR for IDLE/INACTIVE UEs is outside the active CFR or active BWP of CONNECTED mode UEs, it is up to the gNB to reconfigure the CFR or switch BWP of CONNECTED mode UEs to receive broadcast transmission. The IDLE UEs are not expected to switch BWP to align with CONNECTED mode UEs</w:t>
      </w:r>
    </w:p>
    <w:p w14:paraId="5EF912EA" w14:textId="77777777" w:rsidR="00E061A7" w:rsidRDefault="00E061A7" w:rsidP="00E061A7">
      <w:pPr>
        <w:pStyle w:val="ListParagraph"/>
        <w:numPr>
          <w:ilvl w:val="0"/>
          <w:numId w:val="23"/>
        </w:numPr>
        <w:rPr>
          <w:b/>
          <w:bCs/>
        </w:rPr>
      </w:pPr>
      <w:r w:rsidRPr="00E061A7">
        <w:rPr>
          <w:b/>
          <w:bCs/>
        </w:rPr>
        <w:t xml:space="preserve">RRC_INACTIVE/IDLE UEs can support HARQ feedback with NACK-only transmission on a common PUCCH resource configured by 4-bit RMSI indication and selected using the PRI in DCI and the starting CCE index of the PDCCH reception. </w:t>
      </w:r>
    </w:p>
    <w:p w14:paraId="5A354876" w14:textId="7BB4B7B8" w:rsidR="00E061A7" w:rsidRPr="00E061A7" w:rsidRDefault="00E061A7" w:rsidP="00E061A7">
      <w:pPr>
        <w:pStyle w:val="ListParagraph"/>
        <w:numPr>
          <w:ilvl w:val="0"/>
          <w:numId w:val="23"/>
        </w:numPr>
        <w:rPr>
          <w:b/>
          <w:bCs/>
        </w:rPr>
      </w:pPr>
      <w:r w:rsidRPr="00E061A7">
        <w:rPr>
          <w:b/>
          <w:bCs/>
        </w:rPr>
        <w:t>For RRC_IDLE/INACTIVE UEs, HARQ can be configured on/off by RMSI</w:t>
      </w:r>
    </w:p>
    <w:p w14:paraId="778211DC" w14:textId="50A24315" w:rsidR="004F3EBD" w:rsidRPr="008B5A81" w:rsidRDefault="008B5A81" w:rsidP="008B5A81">
      <w:pPr>
        <w:pStyle w:val="ListParagraph"/>
        <w:numPr>
          <w:ilvl w:val="0"/>
          <w:numId w:val="23"/>
        </w:numPr>
        <w:rPr>
          <w:b/>
          <w:bCs/>
        </w:rPr>
      </w:pPr>
      <w:r w:rsidRPr="008B5A81">
        <w:rPr>
          <w:b/>
          <w:bCs/>
        </w:rPr>
        <w:t>Slot level repetition can be supported for RRC_IDLE UEs with the repetition configured as part of the TDRA table via SIB and indicated dynamically through DCI</w:t>
      </w:r>
    </w:p>
    <w:p w14:paraId="0D1A1EED" w14:textId="77777777" w:rsidR="004F3EBD" w:rsidRPr="00270B30" w:rsidRDefault="004F3EBD" w:rsidP="00380677">
      <w:pPr>
        <w:rPr>
          <w:lang w:val="en-US"/>
        </w:rPr>
      </w:pPr>
    </w:p>
    <w:p w14:paraId="0B86E301" w14:textId="77777777" w:rsidR="00380677" w:rsidRPr="00263538" w:rsidRDefault="00380677" w:rsidP="00380677">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8DA6686"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1" w:name="_Ref47537577"/>
      <w:r w:rsidRPr="008031D4">
        <w:rPr>
          <w:rFonts w:ascii="Times New Roman" w:eastAsia="SimSun" w:hAnsi="Times New Roman" w:cs="Times New Roman"/>
          <w:color w:val="auto"/>
          <w:sz w:val="20"/>
          <w:szCs w:val="20"/>
          <w:lang w:eastAsia="zh-CN"/>
        </w:rPr>
        <w:t>RP-193248, New Work Item on NR Support of Multicast and Broadcast Services, Huawei, RAN#86, Sitges, Spain, December 2019.</w:t>
      </w:r>
      <w:bookmarkEnd w:id="1"/>
    </w:p>
    <w:p w14:paraId="3D9BD76E" w14:textId="332CEB18"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Chairman’s Notes, 3GPP RAN1 10</w:t>
      </w:r>
      <w:r w:rsidR="00BB362B">
        <w:rPr>
          <w:rFonts w:ascii="Times New Roman" w:eastAsia="SimSun" w:hAnsi="Times New Roman" w:cs="Times New Roman"/>
          <w:color w:val="auto"/>
          <w:sz w:val="20"/>
          <w:szCs w:val="20"/>
          <w:lang w:eastAsia="zh-CN"/>
        </w:rPr>
        <w:t>4</w:t>
      </w:r>
      <w:r w:rsidRPr="008031D4">
        <w:rPr>
          <w:rFonts w:ascii="Times New Roman" w:eastAsia="SimSun" w:hAnsi="Times New Roman" w:cs="Times New Roman"/>
          <w:color w:val="auto"/>
          <w:sz w:val="20"/>
          <w:szCs w:val="20"/>
          <w:lang w:eastAsia="zh-CN"/>
        </w:rPr>
        <w:t>-e Meeting, August 2020</w:t>
      </w:r>
    </w:p>
    <w:p w14:paraId="1EA46C02" w14:textId="30BE3B00" w:rsidR="006E21A5" w:rsidRPr="008031D4" w:rsidRDefault="000C3BA6"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2" w:name="_Ref47537434"/>
      <w:bookmarkStart w:id="3" w:name="_Ref71651839"/>
      <w:r w:rsidRPr="000C3BA6">
        <w:rPr>
          <w:rFonts w:ascii="Times New Roman" w:eastAsia="SimSun" w:hAnsi="Times New Roman" w:cs="Times New Roman"/>
          <w:color w:val="auto"/>
          <w:sz w:val="20"/>
          <w:szCs w:val="20"/>
          <w:lang w:eastAsia="zh-CN"/>
        </w:rPr>
        <w:t>R1-2104165</w:t>
      </w:r>
      <w:r>
        <w:rPr>
          <w:rFonts w:ascii="Times New Roman" w:eastAsia="SimSun" w:hAnsi="Times New Roman" w:cs="Times New Roman"/>
          <w:color w:val="auto"/>
          <w:sz w:val="20"/>
          <w:szCs w:val="20"/>
          <w:lang w:eastAsia="zh-CN"/>
        </w:rPr>
        <w:t xml:space="preserve">, </w:t>
      </w:r>
      <w:r w:rsidR="008A1C36" w:rsidRPr="008A1C36">
        <w:rPr>
          <w:rFonts w:ascii="Times New Roman" w:eastAsia="SimSun" w:hAnsi="Times New Roman" w:cs="Times New Roman"/>
          <w:color w:val="auto"/>
          <w:sz w:val="20"/>
          <w:szCs w:val="20"/>
          <w:lang w:eastAsia="zh-CN"/>
        </w:rPr>
        <w:t>LS on broadcast session delivery and MCCH design</w:t>
      </w:r>
      <w:r w:rsidR="008A1C36">
        <w:rPr>
          <w:rFonts w:ascii="Times New Roman" w:eastAsia="SimSun" w:hAnsi="Times New Roman" w:cs="Times New Roman"/>
          <w:color w:val="auto"/>
          <w:sz w:val="20"/>
          <w:szCs w:val="20"/>
          <w:lang w:eastAsia="zh-CN"/>
        </w:rPr>
        <w:t>, 3GPP RAN1#105e, May 2021.</w:t>
      </w:r>
      <w:bookmarkEnd w:id="3"/>
      <w:r w:rsidR="008A1C36">
        <w:rPr>
          <w:rFonts w:ascii="Times New Roman" w:eastAsia="SimSun" w:hAnsi="Times New Roman" w:cs="Times New Roman"/>
          <w:color w:val="auto"/>
          <w:sz w:val="20"/>
          <w:szCs w:val="20"/>
          <w:lang w:eastAsia="zh-CN"/>
        </w:rPr>
        <w:t xml:space="preserve"> </w:t>
      </w:r>
    </w:p>
    <w:p w14:paraId="24D0426C"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3GPP TR 36.890 v13.0.0, Study on Single Cell Point-to-Multipoint Transmission (Release 13)</w:t>
      </w:r>
      <w:bookmarkEnd w:id="2"/>
    </w:p>
    <w:p w14:paraId="6490FDD4"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4" w:name="_Ref47541449"/>
      <w:r w:rsidRPr="008031D4">
        <w:rPr>
          <w:rFonts w:ascii="Times New Roman" w:eastAsia="SimSun" w:hAnsi="Times New Roman" w:cs="Times New Roman"/>
          <w:color w:val="auto"/>
          <w:sz w:val="20"/>
          <w:szCs w:val="20"/>
          <w:lang w:eastAsia="zh-CN"/>
        </w:rPr>
        <w:t>3GPP TS 38.211 v16.2.0, NR Physical Channels and Modulation (Release 16)</w:t>
      </w:r>
      <w:bookmarkEnd w:id="4"/>
    </w:p>
    <w:p w14:paraId="29668AA1"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3GPP TS 38.212 v16.2.0, NR Multiplexing and Channel Coding (Release 16)</w:t>
      </w:r>
    </w:p>
    <w:p w14:paraId="5DE10972"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5" w:name="_Ref47538706"/>
      <w:r w:rsidRPr="008031D4">
        <w:rPr>
          <w:rFonts w:ascii="Times New Roman" w:eastAsia="SimSun" w:hAnsi="Times New Roman" w:cs="Times New Roman"/>
          <w:color w:val="auto"/>
          <w:sz w:val="20"/>
          <w:szCs w:val="20"/>
          <w:lang w:eastAsia="zh-CN"/>
        </w:rPr>
        <w:t>3GPP TS 38.213 v16.2.0, NR Physical Layer Procedures for Control (Release 16)</w:t>
      </w:r>
      <w:bookmarkEnd w:id="5"/>
    </w:p>
    <w:p w14:paraId="1D3434C8"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3GPP TS 38.214 v16.2.0, NR Physical Layer Procedures for Data (Release 16)</w:t>
      </w:r>
    </w:p>
    <w:p w14:paraId="4A442595" w14:textId="77777777" w:rsidR="00380677" w:rsidRDefault="00380677" w:rsidP="00380677">
      <w:pPr>
        <w:overflowPunct/>
        <w:autoSpaceDE/>
        <w:autoSpaceDN/>
        <w:adjustRightInd/>
        <w:spacing w:after="0"/>
        <w:textAlignment w:val="auto"/>
        <w:rPr>
          <w:sz w:val="22"/>
          <w:szCs w:val="22"/>
          <w:lang w:val="en-US" w:eastAsia="zh-CN"/>
        </w:rPr>
      </w:pPr>
    </w:p>
    <w:p w14:paraId="643E16A8" w14:textId="77777777" w:rsidR="000B6A82" w:rsidRPr="00380677" w:rsidRDefault="000B6A82" w:rsidP="00380677"/>
    <w:sectPr w:rsidR="000B6A82" w:rsidRPr="00380677" w:rsidSect="00380677">
      <w:headerReference w:type="even" r:id="rId7"/>
      <w:footerReference w:type="even" r:id="rId8"/>
      <w:footerReference w:type="default" r:id="rId9"/>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8EE80E" w14:textId="77777777" w:rsidR="00380677" w:rsidRDefault="00380677" w:rsidP="00380677">
      <w:pPr>
        <w:spacing w:after="0"/>
      </w:pPr>
      <w:r>
        <w:separator/>
      </w:r>
    </w:p>
  </w:endnote>
  <w:endnote w:type="continuationSeparator" w:id="0">
    <w:p w14:paraId="3B67D38F" w14:textId="77777777" w:rsidR="00380677" w:rsidRDefault="00380677" w:rsidP="00380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F85ED" w14:textId="77777777" w:rsidR="00155CB4" w:rsidRDefault="000763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F1B4DB" w14:textId="77777777" w:rsidR="00155CB4" w:rsidRDefault="008B5A81" w:rsidP="00505E39">
    <w:pPr>
      <w:pStyle w:val="Footer"/>
      <w:ind w:right="360"/>
    </w:pPr>
  </w:p>
  <w:p w14:paraId="43B414A5" w14:textId="77777777" w:rsidR="007E2C1C" w:rsidRDefault="007E2C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DE64F" w14:textId="77777777" w:rsidR="00155CB4" w:rsidRDefault="000763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4A926DD" w14:textId="77777777" w:rsidR="007E2C1C" w:rsidRDefault="007E2C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8E0B01" w14:textId="77777777" w:rsidR="00380677" w:rsidRDefault="00380677" w:rsidP="00380677">
      <w:pPr>
        <w:spacing w:after="0"/>
      </w:pPr>
      <w:r>
        <w:separator/>
      </w:r>
    </w:p>
  </w:footnote>
  <w:footnote w:type="continuationSeparator" w:id="0">
    <w:p w14:paraId="24D99126" w14:textId="77777777" w:rsidR="00380677" w:rsidRDefault="00380677" w:rsidP="00380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5C97" w14:textId="77777777" w:rsidR="00155CB4" w:rsidRDefault="000763F1">
    <w:r>
      <w:t xml:space="preserve">Page </w:t>
    </w:r>
    <w:r>
      <w:fldChar w:fldCharType="begin"/>
    </w:r>
    <w:r>
      <w:instrText>PAGE</w:instrText>
    </w:r>
    <w:r>
      <w:fldChar w:fldCharType="separate"/>
    </w:r>
    <w:r>
      <w:rPr>
        <w:noProof/>
      </w:rPr>
      <w:t>1</w:t>
    </w:r>
    <w:r>
      <w:fldChar w:fldCharType="end"/>
    </w:r>
  </w:p>
  <w:p w14:paraId="2BA90138" w14:textId="77777777" w:rsidR="007E2C1C" w:rsidRDefault="007E2C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E130FB"/>
    <w:multiLevelType w:val="hybridMultilevel"/>
    <w:tmpl w:val="9222A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20444"/>
    <w:multiLevelType w:val="hybridMultilevel"/>
    <w:tmpl w:val="0B36906C"/>
    <w:lvl w:ilvl="0" w:tplc="F818345A">
      <w:start w:val="1"/>
      <w:numFmt w:val="decimal"/>
      <w:pStyle w:val="ListParagraph"/>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BE7DA4"/>
    <w:multiLevelType w:val="hybridMultilevel"/>
    <w:tmpl w:val="5720B8D4"/>
    <w:lvl w:ilvl="0" w:tplc="477816CE">
      <w:start w:val="1"/>
      <w:numFmt w:val="decimal"/>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AA3BC8"/>
    <w:multiLevelType w:val="hybridMultilevel"/>
    <w:tmpl w:val="4D9CD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081D95"/>
    <w:multiLevelType w:val="hybridMultilevel"/>
    <w:tmpl w:val="22CC4E9E"/>
    <w:lvl w:ilvl="0" w:tplc="477816CE">
      <w:start w:val="1"/>
      <w:numFmt w:val="decimal"/>
      <w:lvlText w:val="%1."/>
      <w:lvlJc w:val="left"/>
      <w:pPr>
        <w:ind w:left="720" w:hanging="360"/>
      </w:pPr>
      <w:rPr>
        <w:rFonts w:ascii="Times New Roman" w:hAnsi="Times New Roman" w:cs="Times New Roman" w:hint="default"/>
        <w:i/>
        <w:i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207260"/>
    <w:multiLevelType w:val="hybridMultilevel"/>
    <w:tmpl w:val="F13AC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2B68D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A22D85"/>
    <w:multiLevelType w:val="hybridMultilevel"/>
    <w:tmpl w:val="2806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57A6D8F"/>
    <w:multiLevelType w:val="hybridMultilevel"/>
    <w:tmpl w:val="B0900920"/>
    <w:lvl w:ilvl="0" w:tplc="CD46A770">
      <w:start w:val="1"/>
      <w:numFmt w:val="decimal"/>
      <w:lvlText w:val="%1."/>
      <w:lvlJc w:val="left"/>
      <w:pPr>
        <w:ind w:left="720" w:hanging="360"/>
      </w:pPr>
      <w:rPr>
        <w:rFonts w:ascii="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491F4A"/>
    <w:multiLevelType w:val="hybridMultilevel"/>
    <w:tmpl w:val="348A0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8"/>
  </w:num>
  <w:num w:numId="3">
    <w:abstractNumId w:val="15"/>
  </w:num>
  <w:num w:numId="4">
    <w:abstractNumId w:val="22"/>
  </w:num>
  <w:num w:numId="5">
    <w:abstractNumId w:val="3"/>
  </w:num>
  <w:num w:numId="6">
    <w:abstractNumId w:val="21"/>
  </w:num>
  <w:num w:numId="7">
    <w:abstractNumId w:val="14"/>
  </w:num>
  <w:num w:numId="8">
    <w:abstractNumId w:val="8"/>
  </w:num>
  <w:num w:numId="9">
    <w:abstractNumId w:val="16"/>
  </w:num>
  <w:num w:numId="10">
    <w:abstractNumId w:val="11"/>
  </w:num>
  <w:num w:numId="11">
    <w:abstractNumId w:val="4"/>
  </w:num>
  <w:num w:numId="12">
    <w:abstractNumId w:val="12"/>
  </w:num>
  <w:num w:numId="13">
    <w:abstractNumId w:val="9"/>
  </w:num>
  <w:num w:numId="14">
    <w:abstractNumId w:val="1"/>
  </w:num>
  <w:num w:numId="15">
    <w:abstractNumId w:val="0"/>
  </w:num>
  <w:num w:numId="16">
    <w:abstractNumId w:val="6"/>
  </w:num>
  <w:num w:numId="17">
    <w:abstractNumId w:val="19"/>
  </w:num>
  <w:num w:numId="18">
    <w:abstractNumId w:val="13"/>
  </w:num>
  <w:num w:numId="19">
    <w:abstractNumId w:val="2"/>
  </w:num>
  <w:num w:numId="20">
    <w:abstractNumId w:val="7"/>
  </w:num>
  <w:num w:numId="21">
    <w:abstractNumId w:val="20"/>
  </w:num>
  <w:num w:numId="22">
    <w:abstractNumId w:val="17"/>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69"/>
    <w:rsid w:val="000041B4"/>
    <w:rsid w:val="000123DD"/>
    <w:rsid w:val="00030A2E"/>
    <w:rsid w:val="00030F39"/>
    <w:rsid w:val="0003347F"/>
    <w:rsid w:val="00035F65"/>
    <w:rsid w:val="000763F1"/>
    <w:rsid w:val="000A59C5"/>
    <w:rsid w:val="000B6A82"/>
    <w:rsid w:val="000C3BA6"/>
    <w:rsid w:val="000C5C63"/>
    <w:rsid w:val="000F0785"/>
    <w:rsid w:val="00126EDB"/>
    <w:rsid w:val="001270A0"/>
    <w:rsid w:val="00131250"/>
    <w:rsid w:val="00133192"/>
    <w:rsid w:val="001412FE"/>
    <w:rsid w:val="00151268"/>
    <w:rsid w:val="0015439E"/>
    <w:rsid w:val="001A4669"/>
    <w:rsid w:val="001B1095"/>
    <w:rsid w:val="001B1921"/>
    <w:rsid w:val="001C148C"/>
    <w:rsid w:val="001E6BC4"/>
    <w:rsid w:val="00213A20"/>
    <w:rsid w:val="0024407E"/>
    <w:rsid w:val="00253FFC"/>
    <w:rsid w:val="0025581F"/>
    <w:rsid w:val="00256694"/>
    <w:rsid w:val="00270B30"/>
    <w:rsid w:val="0028494F"/>
    <w:rsid w:val="00297D6F"/>
    <w:rsid w:val="002B6D50"/>
    <w:rsid w:val="002D5F03"/>
    <w:rsid w:val="002D70B2"/>
    <w:rsid w:val="002E4352"/>
    <w:rsid w:val="002E51B9"/>
    <w:rsid w:val="00301928"/>
    <w:rsid w:val="00306906"/>
    <w:rsid w:val="003122F6"/>
    <w:rsid w:val="003204A5"/>
    <w:rsid w:val="0034491A"/>
    <w:rsid w:val="0036054E"/>
    <w:rsid w:val="00380677"/>
    <w:rsid w:val="003C30D0"/>
    <w:rsid w:val="003C4A8B"/>
    <w:rsid w:val="003F05B1"/>
    <w:rsid w:val="00416B4C"/>
    <w:rsid w:val="00475A3D"/>
    <w:rsid w:val="004B7621"/>
    <w:rsid w:val="004D504A"/>
    <w:rsid w:val="004E3915"/>
    <w:rsid w:val="004F3EBD"/>
    <w:rsid w:val="005128BE"/>
    <w:rsid w:val="00520270"/>
    <w:rsid w:val="00566708"/>
    <w:rsid w:val="0056791A"/>
    <w:rsid w:val="0058727D"/>
    <w:rsid w:val="00594600"/>
    <w:rsid w:val="005A4A99"/>
    <w:rsid w:val="005A4B06"/>
    <w:rsid w:val="005B2C66"/>
    <w:rsid w:val="005C01C0"/>
    <w:rsid w:val="005C49A6"/>
    <w:rsid w:val="005E57C0"/>
    <w:rsid w:val="006002B1"/>
    <w:rsid w:val="0060316D"/>
    <w:rsid w:val="00651A2A"/>
    <w:rsid w:val="006548F7"/>
    <w:rsid w:val="00665F20"/>
    <w:rsid w:val="00682BD2"/>
    <w:rsid w:val="00687B00"/>
    <w:rsid w:val="00690403"/>
    <w:rsid w:val="006A7804"/>
    <w:rsid w:val="006C2352"/>
    <w:rsid w:val="006E21A5"/>
    <w:rsid w:val="006F164D"/>
    <w:rsid w:val="006F7C2E"/>
    <w:rsid w:val="0072502C"/>
    <w:rsid w:val="007334F2"/>
    <w:rsid w:val="00743FB6"/>
    <w:rsid w:val="00783CC4"/>
    <w:rsid w:val="00791335"/>
    <w:rsid w:val="00791E5B"/>
    <w:rsid w:val="007A3407"/>
    <w:rsid w:val="007C08F2"/>
    <w:rsid w:val="007C3655"/>
    <w:rsid w:val="007C77D0"/>
    <w:rsid w:val="007E2C1C"/>
    <w:rsid w:val="00801BBB"/>
    <w:rsid w:val="008031D4"/>
    <w:rsid w:val="00806179"/>
    <w:rsid w:val="00817E2D"/>
    <w:rsid w:val="00832135"/>
    <w:rsid w:val="008555E6"/>
    <w:rsid w:val="00873B3F"/>
    <w:rsid w:val="008A1C36"/>
    <w:rsid w:val="008B3A25"/>
    <w:rsid w:val="008B5A81"/>
    <w:rsid w:val="008C0349"/>
    <w:rsid w:val="008F4D5C"/>
    <w:rsid w:val="009043C8"/>
    <w:rsid w:val="0093339B"/>
    <w:rsid w:val="00934896"/>
    <w:rsid w:val="00936B94"/>
    <w:rsid w:val="009407BB"/>
    <w:rsid w:val="009424F7"/>
    <w:rsid w:val="00985759"/>
    <w:rsid w:val="009B1C9C"/>
    <w:rsid w:val="009B20DA"/>
    <w:rsid w:val="009B6615"/>
    <w:rsid w:val="009C61B1"/>
    <w:rsid w:val="009F2C91"/>
    <w:rsid w:val="00A40EC9"/>
    <w:rsid w:val="00A52209"/>
    <w:rsid w:val="00A93625"/>
    <w:rsid w:val="00AA1DFE"/>
    <w:rsid w:val="00AB1A96"/>
    <w:rsid w:val="00AB3647"/>
    <w:rsid w:val="00AB5454"/>
    <w:rsid w:val="00AC3AD0"/>
    <w:rsid w:val="00B07BC1"/>
    <w:rsid w:val="00B20CB6"/>
    <w:rsid w:val="00B25304"/>
    <w:rsid w:val="00B3756C"/>
    <w:rsid w:val="00B538D8"/>
    <w:rsid w:val="00B5618C"/>
    <w:rsid w:val="00B61739"/>
    <w:rsid w:val="00B64DAF"/>
    <w:rsid w:val="00B76793"/>
    <w:rsid w:val="00B846FF"/>
    <w:rsid w:val="00BA6C30"/>
    <w:rsid w:val="00BB362B"/>
    <w:rsid w:val="00BC0742"/>
    <w:rsid w:val="00BD590A"/>
    <w:rsid w:val="00BE2B35"/>
    <w:rsid w:val="00BF3D15"/>
    <w:rsid w:val="00C3074A"/>
    <w:rsid w:val="00C4636C"/>
    <w:rsid w:val="00C53772"/>
    <w:rsid w:val="00C543F6"/>
    <w:rsid w:val="00C66B1E"/>
    <w:rsid w:val="00C6793F"/>
    <w:rsid w:val="00C71A47"/>
    <w:rsid w:val="00C8546F"/>
    <w:rsid w:val="00CA30C6"/>
    <w:rsid w:val="00CA49A4"/>
    <w:rsid w:val="00CD141F"/>
    <w:rsid w:val="00CD6072"/>
    <w:rsid w:val="00CE1528"/>
    <w:rsid w:val="00CF74E3"/>
    <w:rsid w:val="00D34277"/>
    <w:rsid w:val="00D40837"/>
    <w:rsid w:val="00D43583"/>
    <w:rsid w:val="00D938AC"/>
    <w:rsid w:val="00D97E6C"/>
    <w:rsid w:val="00DA5B2F"/>
    <w:rsid w:val="00DA65DC"/>
    <w:rsid w:val="00DB631B"/>
    <w:rsid w:val="00DB6C9A"/>
    <w:rsid w:val="00DB779F"/>
    <w:rsid w:val="00DC41F7"/>
    <w:rsid w:val="00DD0AEC"/>
    <w:rsid w:val="00DD5152"/>
    <w:rsid w:val="00DE34AC"/>
    <w:rsid w:val="00DF03B5"/>
    <w:rsid w:val="00E061A7"/>
    <w:rsid w:val="00E13831"/>
    <w:rsid w:val="00E3353D"/>
    <w:rsid w:val="00E54007"/>
    <w:rsid w:val="00E626AF"/>
    <w:rsid w:val="00E8512E"/>
    <w:rsid w:val="00E86404"/>
    <w:rsid w:val="00E92C1D"/>
    <w:rsid w:val="00E96E7B"/>
    <w:rsid w:val="00EB794B"/>
    <w:rsid w:val="00EE3630"/>
    <w:rsid w:val="00F06B0D"/>
    <w:rsid w:val="00F5245E"/>
    <w:rsid w:val="00F52CED"/>
    <w:rsid w:val="00F60CFC"/>
    <w:rsid w:val="00F63E93"/>
    <w:rsid w:val="00F71369"/>
    <w:rsid w:val="00F744A4"/>
    <w:rsid w:val="00F836AA"/>
    <w:rsid w:val="00FA275B"/>
    <w:rsid w:val="00FB672A"/>
    <w:rsid w:val="00FB798F"/>
    <w:rsid w:val="00FC1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9434F"/>
  <w15:chartTrackingRefBased/>
  <w15:docId w15:val="{1CE87C46-B9FB-466F-B158-2897842A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6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3806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80677"/>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6F164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80677"/>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380677"/>
    <w:rPr>
      <w:rFonts w:ascii="Arial" w:eastAsia="SimSun" w:hAnsi="Arial" w:cs="Times New Roman"/>
      <w:sz w:val="32"/>
      <w:szCs w:val="20"/>
      <w:lang w:val="en-GB"/>
    </w:rPr>
  </w:style>
  <w:style w:type="character" w:styleId="FootnoteReference">
    <w:name w:val="footnote reference"/>
    <w:rsid w:val="00380677"/>
    <w:rPr>
      <w:b/>
      <w:position w:val="6"/>
      <w:sz w:val="16"/>
    </w:rPr>
  </w:style>
  <w:style w:type="paragraph" w:styleId="FootnoteText">
    <w:name w:val="footnote text"/>
    <w:basedOn w:val="Normal"/>
    <w:link w:val="FootnoteTextChar"/>
    <w:semiHidden/>
    <w:rsid w:val="00380677"/>
    <w:pPr>
      <w:keepLines/>
      <w:spacing w:after="0"/>
      <w:ind w:left="454" w:hanging="454"/>
    </w:pPr>
    <w:rPr>
      <w:sz w:val="16"/>
    </w:rPr>
  </w:style>
  <w:style w:type="character" w:customStyle="1" w:styleId="FootnoteTextChar">
    <w:name w:val="Footnote Text Char"/>
    <w:basedOn w:val="DefaultParagraphFont"/>
    <w:link w:val="FootnoteText"/>
    <w:semiHidden/>
    <w:rsid w:val="00380677"/>
    <w:rPr>
      <w:rFonts w:ascii="Times New Roman" w:eastAsia="SimSun" w:hAnsi="Times New Roman" w:cs="Times New Roman"/>
      <w:sz w:val="16"/>
      <w:szCs w:val="20"/>
      <w:lang w:val="en-GB"/>
    </w:rPr>
  </w:style>
  <w:style w:type="paragraph" w:styleId="Footer">
    <w:name w:val="footer"/>
    <w:basedOn w:val="Header"/>
    <w:link w:val="FooterChar"/>
    <w:uiPriority w:val="99"/>
    <w:rsid w:val="00380677"/>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380677"/>
    <w:rPr>
      <w:rFonts w:ascii="Arial" w:eastAsia="SimSun" w:hAnsi="Arial" w:cs="Times New Roman"/>
      <w:b/>
      <w:i/>
      <w:noProof/>
      <w:sz w:val="18"/>
      <w:szCs w:val="20"/>
      <w:lang w:val="x-none" w:eastAsia="x-none"/>
    </w:rPr>
  </w:style>
  <w:style w:type="table" w:styleId="TableGrid">
    <w:name w:val="Table Grid"/>
    <w:basedOn w:val="TableNormal"/>
    <w:uiPriority w:val="59"/>
    <w:rsid w:val="003806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80677"/>
  </w:style>
  <w:style w:type="character" w:customStyle="1" w:styleId="Heading1Char1">
    <w:name w:val="Heading 1 Char1"/>
    <w:link w:val="Heading1"/>
    <w:rsid w:val="00380677"/>
    <w:rPr>
      <w:rFonts w:ascii="Arial" w:eastAsia="SimSun" w:hAnsi="Arial" w:cs="Times New Roman"/>
      <w:sz w:val="36"/>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C3074A"/>
    <w:pPr>
      <w:numPr>
        <w:numId w:val="11"/>
      </w:numPr>
      <w:overflowPunct/>
      <w:autoSpaceDE/>
      <w:autoSpaceDN/>
      <w:adjustRightInd/>
      <w:spacing w:after="0"/>
      <w:textAlignment w:val="auto"/>
    </w:pPr>
    <w:rPr>
      <w:rFonts w:eastAsia="Calibri"/>
      <w:i/>
      <w:iCs/>
      <w:lang w:val="en-US"/>
    </w:rPr>
  </w:style>
  <w:style w:type="paragraph" w:customStyle="1" w:styleId="bullet1">
    <w:name w:val="bullet1"/>
    <w:basedOn w:val="Normal"/>
    <w:link w:val="bullet1Char"/>
    <w:qFormat/>
    <w:rsid w:val="00380677"/>
    <w:pPr>
      <w:numPr>
        <w:numId w:val="2"/>
      </w:numPr>
      <w:overflowPunct/>
      <w:autoSpaceDE/>
      <w:autoSpaceDN/>
      <w:adjustRightInd/>
      <w:spacing w:after="0"/>
      <w:textAlignment w:val="auto"/>
    </w:pPr>
    <w:rPr>
      <w:kern w:val="2"/>
      <w:sz w:val="22"/>
      <w:szCs w:val="24"/>
      <w:lang w:eastAsia="zh-CN"/>
    </w:rPr>
  </w:style>
  <w:style w:type="paragraph" w:customStyle="1" w:styleId="bullet2">
    <w:name w:val="bullet2"/>
    <w:basedOn w:val="Normal"/>
    <w:qFormat/>
    <w:rsid w:val="00380677"/>
    <w:pPr>
      <w:numPr>
        <w:ilvl w:val="1"/>
        <w:numId w:val="2"/>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80677"/>
    <w:rPr>
      <w:rFonts w:ascii="Times New Roman" w:eastAsia="SimSun" w:hAnsi="Times New Roman" w:cs="Times New Roman"/>
      <w:kern w:val="2"/>
      <w:szCs w:val="24"/>
      <w:lang w:val="en-GB" w:eastAsia="zh-CN"/>
    </w:rPr>
  </w:style>
  <w:style w:type="paragraph" w:customStyle="1" w:styleId="bullet3">
    <w:name w:val="bullet3"/>
    <w:basedOn w:val="Normal"/>
    <w:qFormat/>
    <w:rsid w:val="00380677"/>
    <w:pPr>
      <w:numPr>
        <w:ilvl w:val="2"/>
        <w:numId w:val="2"/>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80677"/>
    <w:pPr>
      <w:numPr>
        <w:ilvl w:val="3"/>
        <w:numId w:val="2"/>
      </w:numPr>
      <w:overflowPunct/>
      <w:autoSpaceDE/>
      <w:autoSpaceDN/>
      <w:adjustRightInd/>
      <w:spacing w:after="0"/>
      <w:textAlignment w:val="auto"/>
    </w:pPr>
    <w:rPr>
      <w:rFonts w:ascii="Times" w:eastAsia="Batang" w:hAnsi="Times"/>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3074A"/>
    <w:rPr>
      <w:rFonts w:ascii="Times New Roman" w:eastAsia="Calibri" w:hAnsi="Times New Roman" w:cs="Times New Roman"/>
      <w:i/>
      <w:iCs/>
      <w:sz w:val="20"/>
      <w:szCs w:val="20"/>
    </w:rPr>
  </w:style>
  <w:style w:type="paragraph" w:customStyle="1" w:styleId="Default">
    <w:name w:val="Default"/>
    <w:rsid w:val="0038067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semiHidden/>
    <w:unhideWhenUsed/>
    <w:rsid w:val="00380677"/>
    <w:pPr>
      <w:tabs>
        <w:tab w:val="center" w:pos="4680"/>
        <w:tab w:val="right" w:pos="9360"/>
      </w:tabs>
      <w:spacing w:after="0"/>
    </w:pPr>
  </w:style>
  <w:style w:type="character" w:customStyle="1" w:styleId="HeaderChar">
    <w:name w:val="Header Char"/>
    <w:basedOn w:val="DefaultParagraphFont"/>
    <w:link w:val="Header"/>
    <w:uiPriority w:val="99"/>
    <w:semiHidden/>
    <w:rsid w:val="00380677"/>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6F164D"/>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9424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24F7"/>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0212807">
      <w:bodyDiv w:val="1"/>
      <w:marLeft w:val="0"/>
      <w:marRight w:val="0"/>
      <w:marTop w:val="0"/>
      <w:marBottom w:val="0"/>
      <w:divBdr>
        <w:top w:val="none" w:sz="0" w:space="0" w:color="auto"/>
        <w:left w:val="none" w:sz="0" w:space="0" w:color="auto"/>
        <w:bottom w:val="none" w:sz="0" w:space="0" w:color="auto"/>
        <w:right w:val="none" w:sz="0" w:space="0" w:color="auto"/>
      </w:divBdr>
    </w:div>
    <w:div w:id="1307009506">
      <w:bodyDiv w:val="1"/>
      <w:marLeft w:val="0"/>
      <w:marRight w:val="0"/>
      <w:marTop w:val="0"/>
      <w:marBottom w:val="0"/>
      <w:divBdr>
        <w:top w:val="none" w:sz="0" w:space="0" w:color="auto"/>
        <w:left w:val="none" w:sz="0" w:space="0" w:color="auto"/>
        <w:bottom w:val="none" w:sz="0" w:space="0" w:color="auto"/>
        <w:right w:val="none" w:sz="0" w:space="0" w:color="auto"/>
      </w:divBdr>
      <w:divsChild>
        <w:div w:id="1156340502">
          <w:marLeft w:val="475"/>
          <w:marRight w:val="0"/>
          <w:marTop w:val="160"/>
          <w:marBottom w:val="0"/>
          <w:divBdr>
            <w:top w:val="none" w:sz="0" w:space="0" w:color="auto"/>
            <w:left w:val="none" w:sz="0" w:space="0" w:color="auto"/>
            <w:bottom w:val="none" w:sz="0" w:space="0" w:color="auto"/>
            <w:right w:val="none" w:sz="0" w:space="0" w:color="auto"/>
          </w:divBdr>
        </w:div>
        <w:div w:id="1950240609">
          <w:marLeft w:val="475"/>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234</TotalTime>
  <Pages>5</Pages>
  <Words>2376</Words>
  <Characters>13547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183</cp:revision>
  <dcterms:created xsi:type="dcterms:W3CDTF">2020-08-06T00:53:00Z</dcterms:created>
  <dcterms:modified xsi:type="dcterms:W3CDTF">2021-05-12T02:25:00Z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a67e4e3d-e085-4f17-b65e-f961f7a1ebed</vt:lpwstr>
  </property>
  <property fmtid="{D5CDD505-2E9C-101B-9397-08002B2CF9AE}" pid="3" name="CTP_TimeStamp">
    <vt:lpwstr>2020-08-06 07:03:11Z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